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921"/>
        </w:tabs>
        <w:spacing w:before="58"/>
        <w:ind w:left="0" w:leftChars="0" w:firstLine="0" w:firstLineChars="0"/>
        <w:jc w:val="center"/>
        <w:rPr>
          <w:rFonts w:hint="default" w:eastAsia="黑体"/>
          <w:lang w:val="en-US" w:eastAsia="zh-CN"/>
        </w:rPr>
      </w:pPr>
      <w:r>
        <w:rPr>
          <w:rFonts w:hint="eastAsia"/>
          <w:lang w:val="en-US" w:eastAsia="zh-CN"/>
        </w:rPr>
        <w:t>HSE实施规则</w:t>
      </w:r>
    </w:p>
    <w:p>
      <w:pPr>
        <w:pStyle w:val="2"/>
        <w:tabs>
          <w:tab w:val="left" w:pos="921"/>
        </w:tabs>
        <w:spacing w:before="58"/>
        <w:ind w:left="0" w:leftChars="0" w:firstLine="0" w:firstLineChars="0"/>
      </w:pPr>
      <w:r>
        <w:t>1.0目的</w:t>
      </w:r>
    </w:p>
    <w:p>
      <w:pPr>
        <w:pStyle w:val="3"/>
        <w:spacing w:before="111" w:line="540" w:lineRule="atLeast"/>
        <w:ind w:left="272" w:right="205" w:firstLine="480"/>
      </w:pPr>
      <w:r>
        <w:t>公司理解公正性在实施</w:t>
      </w:r>
      <w:bookmarkStart w:id="0" w:name="_GoBack"/>
      <w:bookmarkEnd w:id="0"/>
      <w:r>
        <w:t xml:space="preserve">管理体系认证活动中的重要性。公司依据国家适用法规和认可规范要求编制此文件，旨在阐述申请、实施和保持健康、安全与环境（HSE）管理体系认证方面的要求。本规范是公司和所有认证申请方、获证组织应遵守的基本准则。 </w:t>
      </w:r>
    </w:p>
    <w:p>
      <w:pPr>
        <w:pStyle w:val="2"/>
        <w:tabs>
          <w:tab w:val="left" w:pos="921"/>
        </w:tabs>
        <w:spacing w:before="141"/>
      </w:pPr>
      <w:r>
        <w:t>2.0适用范围</w:t>
      </w:r>
    </w:p>
    <w:p>
      <w:pPr>
        <w:pStyle w:val="3"/>
        <w:spacing w:before="10"/>
        <w:rPr>
          <w:rFonts w:ascii="黑体"/>
          <w:b/>
          <w:sz w:val="26"/>
        </w:rPr>
      </w:pPr>
    </w:p>
    <w:p>
      <w:pPr>
        <w:pStyle w:val="3"/>
        <w:ind w:left="753"/>
      </w:pPr>
      <w:r>
        <w:t>本程序适用于在中国境内对中国石油和中国石化系统内的企业实施健康、安全和环境</w:t>
      </w:r>
    </w:p>
    <w:p>
      <w:pPr>
        <w:pStyle w:val="3"/>
        <w:spacing w:before="2"/>
        <w:rPr>
          <w:sz w:val="18"/>
        </w:rPr>
      </w:pPr>
    </w:p>
    <w:p>
      <w:pPr>
        <w:pStyle w:val="3"/>
        <w:spacing w:line="422" w:lineRule="auto"/>
        <w:ind w:left="272" w:right="349"/>
      </w:pPr>
      <w:r>
        <w:t xml:space="preserve">（HSE）管理体系的认证活动。所指的中国石油和中国石化系统内的企业仅限中石油、中石化系统内及配套的企业。 </w:t>
      </w:r>
    </w:p>
    <w:p>
      <w:pPr>
        <w:pStyle w:val="3"/>
        <w:spacing w:line="422" w:lineRule="auto"/>
        <w:ind w:left="272" w:right="134" w:firstLine="480"/>
      </w:pPr>
      <w:r>
        <w:rPr>
          <w:spacing w:val="-3"/>
        </w:rPr>
        <w:t>本文件规定了对认证申请方、获证组织认证的要求和程序，包括公司与申请方、获证组</w:t>
      </w:r>
      <w:r>
        <w:rPr>
          <w:spacing w:val="-14"/>
        </w:rPr>
        <w:t>织的权利和义务、认证实施程序、证书状态管理规定、收费标准、认证证书及标志使用规定、</w:t>
      </w:r>
    </w:p>
    <w:p>
      <w:pPr>
        <w:pStyle w:val="3"/>
        <w:spacing w:line="305" w:lineRule="exact"/>
        <w:ind w:left="272"/>
      </w:pPr>
      <w:r>
        <w:t xml:space="preserve">申诉和投诉处理规定等，适用于公司对认证申请方、获证组织的认证管理。 </w:t>
      </w:r>
    </w:p>
    <w:p>
      <w:pPr>
        <w:pStyle w:val="2"/>
        <w:numPr>
          <w:ilvl w:val="1"/>
          <w:numId w:val="1"/>
        </w:numPr>
        <w:tabs>
          <w:tab w:val="left" w:pos="921"/>
          <w:tab w:val="left" w:pos="922"/>
        </w:tabs>
        <w:spacing w:before="139" w:after="0" w:line="240" w:lineRule="auto"/>
        <w:ind w:left="921" w:right="0" w:hanging="710"/>
        <w:jc w:val="left"/>
      </w:pPr>
      <w:r>
        <w:t>一般事项</w:t>
      </w:r>
    </w:p>
    <w:p>
      <w:pPr>
        <w:pStyle w:val="3"/>
        <w:spacing w:before="12"/>
        <w:rPr>
          <w:rFonts w:ascii="黑体"/>
          <w:b/>
          <w:sz w:val="26"/>
        </w:rPr>
      </w:pPr>
    </w:p>
    <w:p>
      <w:pPr>
        <w:pStyle w:val="7"/>
        <w:numPr>
          <w:ilvl w:val="1"/>
          <w:numId w:val="1"/>
        </w:numPr>
        <w:tabs>
          <w:tab w:val="left" w:pos="420"/>
        </w:tabs>
        <w:spacing w:before="0" w:after="0" w:line="240" w:lineRule="auto"/>
        <w:ind w:left="1199" w:right="6624" w:hanging="1200"/>
        <w:jc w:val="right"/>
        <w:rPr>
          <w:sz w:val="24"/>
        </w:rPr>
      </w:pPr>
      <w:r>
        <w:rPr>
          <w:sz w:val="24"/>
        </w:rPr>
        <w:t xml:space="preserve">培训、资格及责任： </w:t>
      </w:r>
    </w:p>
    <w:p>
      <w:pPr>
        <w:pStyle w:val="3"/>
        <w:spacing w:before="2"/>
        <w:rPr>
          <w:sz w:val="18"/>
        </w:rPr>
      </w:pPr>
    </w:p>
    <w:p>
      <w:pPr>
        <w:pStyle w:val="7"/>
        <w:numPr>
          <w:ilvl w:val="2"/>
          <w:numId w:val="1"/>
        </w:numPr>
        <w:tabs>
          <w:tab w:val="left" w:pos="660"/>
        </w:tabs>
        <w:spacing w:before="1" w:after="0" w:line="240" w:lineRule="auto"/>
        <w:ind w:left="1725" w:right="6578" w:hanging="1726"/>
        <w:jc w:val="right"/>
        <w:rPr>
          <w:sz w:val="24"/>
        </w:rPr>
      </w:pPr>
      <w:r>
        <w:rPr>
          <w:sz w:val="24"/>
        </w:rPr>
        <w:t xml:space="preserve">审核部技术人员 </w:t>
      </w:r>
    </w:p>
    <w:p>
      <w:pPr>
        <w:pStyle w:val="3"/>
        <w:spacing w:before="1"/>
        <w:rPr>
          <w:sz w:val="18"/>
        </w:rPr>
      </w:pPr>
    </w:p>
    <w:p>
      <w:pPr>
        <w:pStyle w:val="7"/>
        <w:numPr>
          <w:ilvl w:val="0"/>
          <w:numId w:val="2"/>
        </w:numPr>
        <w:tabs>
          <w:tab w:val="left" w:pos="1485"/>
          <w:tab w:val="left" w:pos="1486"/>
        </w:tabs>
        <w:spacing w:before="0" w:after="0" w:line="240" w:lineRule="auto"/>
        <w:ind w:left="1485" w:right="0" w:hanging="421"/>
        <w:jc w:val="left"/>
        <w:rPr>
          <w:sz w:val="24"/>
        </w:rPr>
      </w:pPr>
      <w:r>
        <w:rPr>
          <w:sz w:val="24"/>
        </w:rPr>
        <w:t xml:space="preserve">负责健康、安全与环境（HSE）管理体系认证业务的开发策划，推进； </w:t>
      </w:r>
    </w:p>
    <w:p>
      <w:pPr>
        <w:pStyle w:val="3"/>
        <w:spacing w:before="2"/>
        <w:rPr>
          <w:sz w:val="18"/>
        </w:rPr>
      </w:pPr>
    </w:p>
    <w:p>
      <w:pPr>
        <w:pStyle w:val="7"/>
        <w:numPr>
          <w:ilvl w:val="0"/>
          <w:numId w:val="2"/>
        </w:numPr>
        <w:tabs>
          <w:tab w:val="left" w:pos="1485"/>
          <w:tab w:val="left" w:pos="1486"/>
        </w:tabs>
        <w:spacing w:before="0" w:after="0" w:line="422" w:lineRule="auto"/>
        <w:ind w:left="1485" w:right="258" w:hanging="420"/>
        <w:jc w:val="left"/>
        <w:rPr>
          <w:sz w:val="24"/>
        </w:rPr>
      </w:pPr>
      <w:r>
        <w:rPr>
          <w:sz w:val="24"/>
        </w:rPr>
        <w:t xml:space="preserve">负责健康、安全与环境（HSE）管理体系认证领域管理体系的日常维护，与认可委、认监委日常联络，认证资格的申报； </w:t>
      </w:r>
    </w:p>
    <w:p>
      <w:pPr>
        <w:pStyle w:val="7"/>
        <w:numPr>
          <w:ilvl w:val="0"/>
          <w:numId w:val="2"/>
        </w:numPr>
        <w:tabs>
          <w:tab w:val="left" w:pos="1485"/>
          <w:tab w:val="left" w:pos="1486"/>
        </w:tabs>
        <w:spacing w:before="0" w:after="0" w:line="305" w:lineRule="exact"/>
        <w:ind w:left="1485" w:right="0" w:hanging="421"/>
        <w:jc w:val="left"/>
        <w:rPr>
          <w:sz w:val="24"/>
        </w:rPr>
      </w:pPr>
      <w:r>
        <w:rPr>
          <w:sz w:val="24"/>
        </w:rPr>
        <w:t xml:space="preserve">负责证书制作、发放、回收、状态控制管理； </w:t>
      </w:r>
    </w:p>
    <w:p>
      <w:pPr>
        <w:pStyle w:val="3"/>
        <w:spacing w:before="2"/>
        <w:rPr>
          <w:sz w:val="18"/>
        </w:rPr>
      </w:pPr>
    </w:p>
    <w:p>
      <w:pPr>
        <w:pStyle w:val="7"/>
        <w:numPr>
          <w:ilvl w:val="0"/>
          <w:numId w:val="2"/>
        </w:numPr>
        <w:tabs>
          <w:tab w:val="left" w:pos="1485"/>
          <w:tab w:val="left" w:pos="1486"/>
        </w:tabs>
        <w:spacing w:before="0" w:after="0" w:line="240" w:lineRule="auto"/>
        <w:ind w:left="1485" w:right="0" w:hanging="421"/>
        <w:jc w:val="left"/>
        <w:rPr>
          <w:sz w:val="24"/>
        </w:rPr>
      </w:pPr>
      <w:r>
        <w:rPr>
          <w:sz w:val="24"/>
        </w:rPr>
        <w:t xml:space="preserve">负责业务创新及专业范围的认可扩大工作； </w:t>
      </w:r>
    </w:p>
    <w:p>
      <w:pPr>
        <w:pStyle w:val="3"/>
        <w:spacing w:before="2"/>
        <w:rPr>
          <w:sz w:val="18"/>
        </w:rPr>
      </w:pPr>
    </w:p>
    <w:p>
      <w:pPr>
        <w:pStyle w:val="7"/>
        <w:numPr>
          <w:ilvl w:val="0"/>
          <w:numId w:val="2"/>
        </w:numPr>
        <w:tabs>
          <w:tab w:val="left" w:pos="1485"/>
          <w:tab w:val="left" w:pos="1486"/>
        </w:tabs>
        <w:spacing w:before="0" w:after="0" w:line="240" w:lineRule="auto"/>
        <w:ind w:left="1485" w:right="0" w:hanging="421"/>
        <w:jc w:val="left"/>
        <w:rPr>
          <w:sz w:val="24"/>
        </w:rPr>
      </w:pPr>
      <w:r>
        <w:rPr>
          <w:sz w:val="24"/>
        </w:rPr>
        <w:t xml:space="preserve">负责组织学术研究和探讨。 </w:t>
      </w:r>
    </w:p>
    <w:p>
      <w:pPr>
        <w:pStyle w:val="3"/>
        <w:spacing w:before="2"/>
        <w:rPr>
          <w:sz w:val="18"/>
        </w:rPr>
      </w:pPr>
    </w:p>
    <w:p>
      <w:pPr>
        <w:pStyle w:val="7"/>
        <w:numPr>
          <w:ilvl w:val="2"/>
          <w:numId w:val="1"/>
        </w:numPr>
        <w:tabs>
          <w:tab w:val="left" w:pos="1726"/>
        </w:tabs>
        <w:spacing w:before="1" w:after="0" w:line="240" w:lineRule="auto"/>
        <w:ind w:left="1725" w:right="0" w:hanging="661"/>
        <w:jc w:val="left"/>
        <w:rPr>
          <w:sz w:val="24"/>
        </w:rPr>
      </w:pPr>
      <w:r>
        <w:rPr>
          <w:sz w:val="24"/>
        </w:rPr>
        <w:t xml:space="preserve">市场部 </w:t>
      </w:r>
    </w:p>
    <w:p>
      <w:pPr>
        <w:pStyle w:val="3"/>
        <w:spacing w:before="1"/>
        <w:rPr>
          <w:sz w:val="18"/>
        </w:rPr>
      </w:pPr>
    </w:p>
    <w:p>
      <w:pPr>
        <w:pStyle w:val="7"/>
        <w:numPr>
          <w:ilvl w:val="0"/>
          <w:numId w:val="3"/>
        </w:numPr>
        <w:tabs>
          <w:tab w:val="left" w:pos="1485"/>
          <w:tab w:val="left" w:pos="1486"/>
        </w:tabs>
        <w:spacing w:before="0" w:after="0" w:line="240" w:lineRule="auto"/>
        <w:ind w:left="1485" w:right="0" w:hanging="421"/>
        <w:jc w:val="left"/>
        <w:rPr>
          <w:sz w:val="24"/>
        </w:rPr>
      </w:pPr>
      <w:r>
        <w:rPr>
          <w:sz w:val="24"/>
        </w:rPr>
        <w:t xml:space="preserve">制定市场开发计划，进行市场分析，明确市场定位； </w:t>
      </w:r>
    </w:p>
    <w:p>
      <w:pPr>
        <w:pStyle w:val="3"/>
        <w:spacing w:before="2"/>
        <w:rPr>
          <w:sz w:val="18"/>
        </w:rPr>
      </w:pPr>
    </w:p>
    <w:p>
      <w:pPr>
        <w:pStyle w:val="7"/>
        <w:numPr>
          <w:ilvl w:val="0"/>
          <w:numId w:val="3"/>
        </w:numPr>
        <w:tabs>
          <w:tab w:val="left" w:pos="1485"/>
          <w:tab w:val="left" w:pos="1486"/>
        </w:tabs>
        <w:spacing w:before="0" w:after="0" w:line="240" w:lineRule="auto"/>
        <w:ind w:left="1485" w:right="0" w:hanging="421"/>
        <w:jc w:val="left"/>
        <w:rPr>
          <w:sz w:val="24"/>
        </w:rPr>
      </w:pPr>
      <w:r>
        <w:rPr>
          <w:sz w:val="24"/>
        </w:rPr>
        <w:t xml:space="preserve">负责商务资料的设计、制备及各项商务活动制度的建立； </w:t>
      </w:r>
    </w:p>
    <w:p>
      <w:pPr>
        <w:pStyle w:val="3"/>
        <w:spacing w:before="2"/>
        <w:rPr>
          <w:sz w:val="18"/>
        </w:rPr>
      </w:pPr>
    </w:p>
    <w:p>
      <w:pPr>
        <w:pStyle w:val="7"/>
        <w:numPr>
          <w:ilvl w:val="0"/>
          <w:numId w:val="3"/>
        </w:numPr>
        <w:tabs>
          <w:tab w:val="left" w:pos="1485"/>
          <w:tab w:val="left" w:pos="1486"/>
        </w:tabs>
        <w:spacing w:before="0" w:after="0" w:line="240" w:lineRule="auto"/>
        <w:ind w:left="1485" w:right="0" w:hanging="421"/>
        <w:jc w:val="left"/>
        <w:rPr>
          <w:sz w:val="24"/>
        </w:rPr>
      </w:pPr>
      <w:r>
        <w:rPr>
          <w:sz w:val="24"/>
        </w:rPr>
        <w:t xml:space="preserve">联络客户询/报/议价、签署合同及执行合同签署前的合同评审工作； </w:t>
      </w:r>
    </w:p>
    <w:p>
      <w:pPr>
        <w:pStyle w:val="3"/>
        <w:spacing w:before="2"/>
        <w:rPr>
          <w:sz w:val="18"/>
        </w:rPr>
      </w:pPr>
    </w:p>
    <w:p>
      <w:pPr>
        <w:pStyle w:val="7"/>
        <w:numPr>
          <w:ilvl w:val="0"/>
          <w:numId w:val="3"/>
        </w:numPr>
        <w:tabs>
          <w:tab w:val="left" w:pos="1485"/>
          <w:tab w:val="left" w:pos="1486"/>
        </w:tabs>
        <w:spacing w:before="0" w:after="0" w:line="240" w:lineRule="auto"/>
        <w:ind w:left="1485" w:right="0" w:hanging="421"/>
        <w:jc w:val="left"/>
        <w:rPr>
          <w:sz w:val="24"/>
        </w:rPr>
      </w:pPr>
      <w:r>
        <w:rPr>
          <w:sz w:val="24"/>
        </w:rPr>
        <w:t xml:space="preserve">搜集潜在客户动态情报，跟进落实； </w:t>
      </w:r>
    </w:p>
    <w:p>
      <w:pPr>
        <w:pStyle w:val="7"/>
        <w:numPr>
          <w:ilvl w:val="0"/>
          <w:numId w:val="3"/>
        </w:numPr>
        <w:tabs>
          <w:tab w:val="left" w:pos="1485"/>
          <w:tab w:val="left" w:pos="1486"/>
        </w:tabs>
        <w:spacing w:before="149" w:after="0" w:line="240" w:lineRule="auto"/>
        <w:ind w:left="1485" w:right="0" w:hanging="421"/>
        <w:jc w:val="left"/>
        <w:rPr>
          <w:sz w:val="24"/>
        </w:rPr>
      </w:pPr>
      <w:r>
        <w:rPr>
          <w:sz w:val="24"/>
        </w:rPr>
        <w:t xml:space="preserve">负责认证项目的前期论证，参与审核方案策划。 </w:t>
      </w:r>
    </w:p>
    <w:p>
      <w:pPr>
        <w:pStyle w:val="3"/>
        <w:spacing w:before="2"/>
        <w:rPr>
          <w:sz w:val="18"/>
        </w:rPr>
      </w:pPr>
    </w:p>
    <w:p>
      <w:pPr>
        <w:pStyle w:val="7"/>
        <w:numPr>
          <w:ilvl w:val="2"/>
          <w:numId w:val="1"/>
        </w:numPr>
        <w:tabs>
          <w:tab w:val="left" w:pos="1726"/>
        </w:tabs>
        <w:spacing w:before="0" w:after="0" w:line="240" w:lineRule="auto"/>
        <w:ind w:left="1725" w:right="0" w:hanging="661"/>
        <w:jc w:val="left"/>
        <w:rPr>
          <w:sz w:val="24"/>
        </w:rPr>
      </w:pPr>
      <w:r>
        <w:rPr>
          <w:sz w:val="24"/>
        </w:rPr>
        <w:t xml:space="preserve">审核部 </w:t>
      </w:r>
    </w:p>
    <w:p>
      <w:pPr>
        <w:pStyle w:val="3"/>
        <w:spacing w:before="2"/>
        <w:rPr>
          <w:sz w:val="18"/>
        </w:rPr>
      </w:pPr>
    </w:p>
    <w:p>
      <w:pPr>
        <w:pStyle w:val="7"/>
        <w:numPr>
          <w:ilvl w:val="0"/>
          <w:numId w:val="4"/>
        </w:numPr>
        <w:tabs>
          <w:tab w:val="left" w:pos="1485"/>
          <w:tab w:val="left" w:pos="1486"/>
        </w:tabs>
        <w:spacing w:before="0" w:after="0" w:line="422" w:lineRule="auto"/>
        <w:ind w:left="1485" w:right="251" w:hanging="420"/>
        <w:jc w:val="left"/>
        <w:rPr>
          <w:sz w:val="24"/>
        </w:rPr>
      </w:pPr>
      <w:r>
        <w:rPr>
          <w:sz w:val="24"/>
        </w:rPr>
        <w:t>负责向客户发出贯彻实施《HSE</w:t>
      </w:r>
      <w:r>
        <w:rPr>
          <w:spacing w:val="-7"/>
          <w:sz w:val="24"/>
        </w:rPr>
        <w:t xml:space="preserve"> 认证规则》及认证安排的通知；负责审核任务的</w:t>
      </w:r>
      <w:r>
        <w:rPr>
          <w:sz w:val="24"/>
        </w:rPr>
        <w:t xml:space="preserve">立项及其方案的管理；各类型审核指令的下达；审核进度和质量的控制； </w:t>
      </w:r>
    </w:p>
    <w:p>
      <w:pPr>
        <w:pStyle w:val="7"/>
        <w:numPr>
          <w:ilvl w:val="0"/>
          <w:numId w:val="4"/>
        </w:numPr>
        <w:tabs>
          <w:tab w:val="left" w:pos="1485"/>
          <w:tab w:val="left" w:pos="1486"/>
        </w:tabs>
        <w:spacing w:before="0" w:after="0" w:line="305" w:lineRule="exact"/>
        <w:ind w:left="1485" w:right="0" w:hanging="421"/>
        <w:jc w:val="left"/>
        <w:rPr>
          <w:sz w:val="24"/>
        </w:rPr>
      </w:pPr>
      <w:r>
        <w:rPr>
          <w:sz w:val="24"/>
        </w:rPr>
        <w:t xml:space="preserve">负责组织审核前对客户资料的评审及专业能力的确认； </w:t>
      </w:r>
    </w:p>
    <w:p>
      <w:pPr>
        <w:pStyle w:val="3"/>
        <w:spacing w:before="2"/>
        <w:rPr>
          <w:sz w:val="18"/>
        </w:rPr>
      </w:pPr>
    </w:p>
    <w:p>
      <w:pPr>
        <w:pStyle w:val="7"/>
        <w:numPr>
          <w:ilvl w:val="0"/>
          <w:numId w:val="4"/>
        </w:numPr>
        <w:tabs>
          <w:tab w:val="left" w:pos="1485"/>
          <w:tab w:val="left" w:pos="1486"/>
        </w:tabs>
        <w:spacing w:before="0" w:after="0" w:line="422" w:lineRule="auto"/>
        <w:ind w:left="1485" w:right="130" w:hanging="420"/>
        <w:jc w:val="left"/>
        <w:rPr>
          <w:sz w:val="24"/>
        </w:rPr>
      </w:pPr>
      <w:r>
        <w:rPr>
          <w:spacing w:val="-8"/>
          <w:sz w:val="24"/>
        </w:rPr>
        <w:t xml:space="preserve">负责认证实施过程中的专业能力管理。包括审核组的选择，审核准备，审核实施， </w:t>
      </w:r>
      <w:r>
        <w:rPr>
          <w:sz w:val="24"/>
        </w:rPr>
        <w:t xml:space="preserve">审核资料报批等阶段的工作； </w:t>
      </w:r>
    </w:p>
    <w:p>
      <w:pPr>
        <w:pStyle w:val="7"/>
        <w:numPr>
          <w:ilvl w:val="0"/>
          <w:numId w:val="4"/>
        </w:numPr>
        <w:tabs>
          <w:tab w:val="left" w:pos="1485"/>
          <w:tab w:val="left" w:pos="1486"/>
        </w:tabs>
        <w:spacing w:before="0" w:after="0" w:line="306" w:lineRule="exact"/>
        <w:ind w:left="1485" w:right="0" w:hanging="421"/>
        <w:jc w:val="left"/>
        <w:rPr>
          <w:sz w:val="24"/>
        </w:rPr>
      </w:pPr>
      <w:r>
        <w:rPr>
          <w:sz w:val="24"/>
        </w:rPr>
        <w:t xml:space="preserve">负责向审核部移交审核资料等； </w:t>
      </w:r>
    </w:p>
    <w:p>
      <w:pPr>
        <w:pStyle w:val="3"/>
        <w:spacing w:before="2"/>
        <w:rPr>
          <w:sz w:val="18"/>
        </w:rPr>
      </w:pPr>
    </w:p>
    <w:p>
      <w:pPr>
        <w:pStyle w:val="7"/>
        <w:numPr>
          <w:ilvl w:val="0"/>
          <w:numId w:val="4"/>
        </w:numPr>
        <w:tabs>
          <w:tab w:val="left" w:pos="1485"/>
          <w:tab w:val="left" w:pos="1486"/>
        </w:tabs>
        <w:spacing w:before="0" w:after="0" w:line="240" w:lineRule="auto"/>
        <w:ind w:left="1485" w:right="0" w:hanging="421"/>
        <w:jc w:val="left"/>
        <w:rPr>
          <w:sz w:val="24"/>
        </w:rPr>
      </w:pPr>
      <w:r>
        <w:rPr>
          <w:sz w:val="24"/>
        </w:rPr>
        <w:t xml:space="preserve">配合审核部申请认可专业范围的扩大，安排见证评审项目； </w:t>
      </w:r>
    </w:p>
    <w:p>
      <w:pPr>
        <w:pStyle w:val="3"/>
        <w:spacing w:before="2"/>
        <w:rPr>
          <w:sz w:val="18"/>
        </w:rPr>
      </w:pPr>
    </w:p>
    <w:p>
      <w:pPr>
        <w:pStyle w:val="7"/>
        <w:numPr>
          <w:ilvl w:val="0"/>
          <w:numId w:val="4"/>
        </w:numPr>
        <w:tabs>
          <w:tab w:val="left" w:pos="1485"/>
          <w:tab w:val="left" w:pos="1486"/>
        </w:tabs>
        <w:spacing w:before="0" w:after="0" w:line="240" w:lineRule="auto"/>
        <w:ind w:left="1485" w:right="0" w:hanging="421"/>
        <w:jc w:val="left"/>
        <w:rPr>
          <w:sz w:val="24"/>
        </w:rPr>
      </w:pPr>
      <w:r>
        <w:rPr>
          <w:spacing w:val="-20"/>
          <w:sz w:val="24"/>
        </w:rPr>
        <w:t xml:space="preserve">参与 </w:t>
      </w:r>
      <w:r>
        <w:rPr>
          <w:sz w:val="24"/>
        </w:rPr>
        <w:t>HSE</w:t>
      </w:r>
      <w:r>
        <w:rPr>
          <w:spacing w:val="-8"/>
          <w:sz w:val="24"/>
        </w:rPr>
        <w:t xml:space="preserve"> 认证的认证人员应符合以下条件： </w:t>
      </w:r>
    </w:p>
    <w:p>
      <w:pPr>
        <w:pStyle w:val="3"/>
        <w:spacing w:before="2"/>
        <w:rPr>
          <w:sz w:val="18"/>
        </w:rPr>
      </w:pPr>
    </w:p>
    <w:p>
      <w:pPr>
        <w:pStyle w:val="7"/>
        <w:numPr>
          <w:ilvl w:val="1"/>
          <w:numId w:val="4"/>
        </w:numPr>
        <w:tabs>
          <w:tab w:val="left" w:pos="1905"/>
          <w:tab w:val="left" w:pos="1906"/>
        </w:tabs>
        <w:spacing w:before="0" w:after="0" w:line="422" w:lineRule="auto"/>
        <w:ind w:left="1905" w:right="251" w:hanging="420"/>
        <w:jc w:val="left"/>
        <w:rPr>
          <w:sz w:val="24"/>
        </w:rPr>
      </w:pPr>
      <w:r>
        <w:rPr>
          <w:sz w:val="24"/>
        </w:rPr>
        <w:t>审核人员应当取得中国认证认可协会（CCAA）</w:t>
      </w:r>
      <w:r>
        <w:rPr>
          <w:spacing w:val="-23"/>
          <w:sz w:val="24"/>
        </w:rPr>
        <w:t xml:space="preserve">的 </w:t>
      </w:r>
      <w:r>
        <w:rPr>
          <w:sz w:val="24"/>
        </w:rPr>
        <w:t>QES</w:t>
      </w:r>
      <w:r>
        <w:rPr>
          <w:spacing w:val="-9"/>
          <w:sz w:val="24"/>
        </w:rPr>
        <w:t xml:space="preserve"> 管理体系注册审核员资</w:t>
      </w:r>
      <w:r>
        <w:rPr>
          <w:spacing w:val="-10"/>
          <w:sz w:val="24"/>
        </w:rPr>
        <w:t xml:space="preserve">格，并经过 </w:t>
      </w:r>
      <w:r>
        <w:rPr>
          <w:sz w:val="24"/>
        </w:rPr>
        <w:t>HSE</w:t>
      </w:r>
      <w:r>
        <w:rPr>
          <w:spacing w:val="-13"/>
          <w:sz w:val="24"/>
        </w:rPr>
        <w:t xml:space="preserve"> 相关标准培训，取得 </w:t>
      </w:r>
      <w:r>
        <w:rPr>
          <w:sz w:val="24"/>
        </w:rPr>
        <w:t>TDC</w:t>
      </w:r>
      <w:r>
        <w:rPr>
          <w:spacing w:val="-9"/>
          <w:sz w:val="24"/>
        </w:rPr>
        <w:t xml:space="preserve"> 的资格确认； </w:t>
      </w:r>
    </w:p>
    <w:p>
      <w:pPr>
        <w:pStyle w:val="7"/>
        <w:numPr>
          <w:ilvl w:val="1"/>
          <w:numId w:val="4"/>
        </w:numPr>
        <w:tabs>
          <w:tab w:val="left" w:pos="1905"/>
          <w:tab w:val="left" w:pos="1906"/>
        </w:tabs>
        <w:spacing w:before="0" w:after="0" w:line="422" w:lineRule="auto"/>
        <w:ind w:left="1905" w:right="251" w:hanging="420"/>
        <w:jc w:val="left"/>
        <w:rPr>
          <w:sz w:val="24"/>
        </w:rPr>
      </w:pPr>
      <w:r>
        <w:rPr>
          <w:sz w:val="24"/>
        </w:rPr>
        <w:t>专业认证人员应具有相应行业的专业能力（按照 QMS、EMS</w:t>
      </w:r>
      <w:r>
        <w:rPr>
          <w:spacing w:val="-31"/>
          <w:sz w:val="24"/>
        </w:rPr>
        <w:t xml:space="preserve"> 和 </w:t>
      </w:r>
      <w:r>
        <w:rPr>
          <w:sz w:val="24"/>
        </w:rPr>
        <w:t>OHSAS</w:t>
      </w:r>
      <w:r>
        <w:rPr>
          <w:spacing w:val="-5"/>
          <w:sz w:val="24"/>
        </w:rPr>
        <w:t xml:space="preserve"> 的专业</w:t>
      </w:r>
      <w:r>
        <w:rPr>
          <w:sz w:val="24"/>
        </w:rPr>
        <w:t>能力评价准则评定</w:t>
      </w:r>
      <w:r>
        <w:rPr>
          <w:spacing w:val="-120"/>
          <w:sz w:val="24"/>
        </w:rPr>
        <w:t>）</w:t>
      </w:r>
      <w:r>
        <w:rPr>
          <w:sz w:val="24"/>
        </w:rPr>
        <w:t xml:space="preserve">； </w:t>
      </w:r>
    </w:p>
    <w:p>
      <w:pPr>
        <w:pStyle w:val="7"/>
        <w:numPr>
          <w:ilvl w:val="0"/>
          <w:numId w:val="4"/>
        </w:numPr>
        <w:tabs>
          <w:tab w:val="left" w:pos="1485"/>
          <w:tab w:val="left" w:pos="1486"/>
        </w:tabs>
        <w:spacing w:before="0" w:after="0" w:line="305" w:lineRule="exact"/>
        <w:ind w:left="1485" w:right="0" w:hanging="421"/>
        <w:jc w:val="left"/>
        <w:rPr>
          <w:sz w:val="24"/>
        </w:rPr>
      </w:pPr>
      <w:r>
        <w:rPr>
          <w:sz w:val="24"/>
        </w:rPr>
        <w:t xml:space="preserve">负责证后监督管理工作； </w:t>
      </w:r>
    </w:p>
    <w:p>
      <w:pPr>
        <w:pStyle w:val="3"/>
        <w:spacing w:before="12"/>
        <w:rPr>
          <w:sz w:val="17"/>
        </w:rPr>
      </w:pPr>
    </w:p>
    <w:p>
      <w:pPr>
        <w:pStyle w:val="7"/>
        <w:numPr>
          <w:ilvl w:val="0"/>
          <w:numId w:val="4"/>
        </w:numPr>
        <w:tabs>
          <w:tab w:val="left" w:pos="1485"/>
          <w:tab w:val="left" w:pos="1486"/>
        </w:tabs>
        <w:spacing w:before="0" w:after="0" w:line="422" w:lineRule="auto"/>
        <w:ind w:left="1485" w:right="252" w:hanging="420"/>
        <w:jc w:val="left"/>
        <w:rPr>
          <w:sz w:val="24"/>
        </w:rPr>
      </w:pPr>
      <w:r>
        <w:rPr>
          <w:spacing w:val="-4"/>
          <w:sz w:val="24"/>
        </w:rPr>
        <w:t>负责对分公司审核活动的授权、指令和执行情况的动态监控；检查分公司是否超</w:t>
      </w:r>
      <w:r>
        <w:rPr>
          <w:sz w:val="24"/>
        </w:rPr>
        <w:t xml:space="preserve">越审核授权开展认证的关键活动。 </w:t>
      </w:r>
    </w:p>
    <w:p>
      <w:pPr>
        <w:pStyle w:val="7"/>
        <w:numPr>
          <w:ilvl w:val="2"/>
          <w:numId w:val="1"/>
        </w:numPr>
        <w:tabs>
          <w:tab w:val="left" w:pos="1726"/>
        </w:tabs>
        <w:spacing w:before="0" w:after="0" w:line="305" w:lineRule="exact"/>
        <w:ind w:left="1725" w:right="0" w:hanging="661"/>
        <w:jc w:val="left"/>
        <w:rPr>
          <w:sz w:val="24"/>
        </w:rPr>
      </w:pPr>
      <w:r>
        <w:rPr>
          <w:sz w:val="24"/>
        </w:rPr>
        <w:t xml:space="preserve">行政部（人力资源） </w:t>
      </w:r>
    </w:p>
    <w:p>
      <w:pPr>
        <w:pStyle w:val="3"/>
        <w:spacing w:before="2"/>
        <w:rPr>
          <w:sz w:val="18"/>
        </w:rPr>
      </w:pPr>
    </w:p>
    <w:p>
      <w:pPr>
        <w:pStyle w:val="7"/>
        <w:numPr>
          <w:ilvl w:val="0"/>
          <w:numId w:val="5"/>
        </w:numPr>
        <w:tabs>
          <w:tab w:val="left" w:pos="1485"/>
          <w:tab w:val="left" w:pos="1486"/>
        </w:tabs>
        <w:spacing w:before="0" w:after="0" w:line="422" w:lineRule="auto"/>
        <w:ind w:left="1485" w:right="251" w:hanging="420"/>
        <w:jc w:val="left"/>
        <w:rPr>
          <w:sz w:val="24"/>
        </w:rPr>
      </w:pPr>
      <w:r>
        <w:rPr>
          <w:spacing w:val="1"/>
          <w:sz w:val="24"/>
        </w:rPr>
        <w:t>负责组织专业人员和非专业人员培训参加公司内部举办的</w:t>
      </w:r>
      <w:r>
        <w:rPr>
          <w:sz w:val="24"/>
        </w:rPr>
        <w:t>HSE</w:t>
      </w:r>
      <w:r>
        <w:rPr>
          <w:spacing w:val="-12"/>
          <w:sz w:val="24"/>
        </w:rPr>
        <w:t xml:space="preserve"> 管理体系审核员培</w:t>
      </w:r>
      <w:r>
        <w:rPr>
          <w:sz w:val="24"/>
        </w:rPr>
        <w:t xml:space="preserve">训，对相关人员进行评定，并发布； </w:t>
      </w:r>
    </w:p>
    <w:p>
      <w:pPr>
        <w:pStyle w:val="7"/>
        <w:numPr>
          <w:ilvl w:val="0"/>
          <w:numId w:val="5"/>
        </w:numPr>
        <w:tabs>
          <w:tab w:val="left" w:pos="1485"/>
          <w:tab w:val="left" w:pos="1486"/>
        </w:tabs>
        <w:spacing w:before="0" w:after="0" w:line="306" w:lineRule="exact"/>
        <w:ind w:left="1485" w:right="0" w:hanging="421"/>
        <w:jc w:val="left"/>
        <w:rPr>
          <w:sz w:val="24"/>
        </w:rPr>
      </w:pPr>
      <w:r>
        <w:rPr>
          <w:sz w:val="24"/>
        </w:rPr>
        <w:t xml:space="preserve">建立和保持认证人员能力分析和评价系统； </w:t>
      </w:r>
    </w:p>
    <w:p>
      <w:pPr>
        <w:pStyle w:val="3"/>
        <w:spacing w:before="2"/>
        <w:rPr>
          <w:sz w:val="18"/>
        </w:rPr>
      </w:pPr>
    </w:p>
    <w:p>
      <w:pPr>
        <w:pStyle w:val="7"/>
        <w:numPr>
          <w:ilvl w:val="0"/>
          <w:numId w:val="5"/>
        </w:numPr>
        <w:tabs>
          <w:tab w:val="left" w:pos="1485"/>
          <w:tab w:val="left" w:pos="1486"/>
        </w:tabs>
        <w:spacing w:before="0" w:after="0" w:line="240" w:lineRule="auto"/>
        <w:ind w:left="1485" w:right="0" w:hanging="421"/>
        <w:jc w:val="left"/>
        <w:rPr>
          <w:sz w:val="24"/>
        </w:rPr>
      </w:pPr>
      <w:r>
        <w:rPr>
          <w:sz w:val="24"/>
        </w:rPr>
        <w:t xml:space="preserve">负责认证审核人员的有计划招募、测评、试/录用、解聘工作； </w:t>
      </w:r>
    </w:p>
    <w:p>
      <w:pPr>
        <w:pStyle w:val="3"/>
        <w:spacing w:before="1"/>
        <w:rPr>
          <w:sz w:val="18"/>
        </w:rPr>
      </w:pPr>
    </w:p>
    <w:p>
      <w:pPr>
        <w:pStyle w:val="7"/>
        <w:numPr>
          <w:ilvl w:val="0"/>
          <w:numId w:val="5"/>
        </w:numPr>
        <w:tabs>
          <w:tab w:val="left" w:pos="1485"/>
          <w:tab w:val="left" w:pos="1486"/>
        </w:tabs>
        <w:spacing w:before="1" w:after="0" w:line="240" w:lineRule="auto"/>
        <w:ind w:left="1485" w:right="0" w:hanging="421"/>
        <w:jc w:val="left"/>
        <w:rPr>
          <w:sz w:val="24"/>
        </w:rPr>
      </w:pPr>
      <w:r>
        <w:rPr>
          <w:sz w:val="24"/>
        </w:rPr>
        <w:t xml:space="preserve">负责所有认证人员的统一评定、考核和管理； </w:t>
      </w:r>
    </w:p>
    <w:p>
      <w:pPr>
        <w:pStyle w:val="3"/>
        <w:spacing w:before="1"/>
        <w:rPr>
          <w:sz w:val="18"/>
        </w:rPr>
      </w:pPr>
    </w:p>
    <w:p>
      <w:pPr>
        <w:pStyle w:val="7"/>
        <w:numPr>
          <w:ilvl w:val="0"/>
          <w:numId w:val="5"/>
        </w:numPr>
        <w:tabs>
          <w:tab w:val="left" w:pos="1485"/>
          <w:tab w:val="left" w:pos="1486"/>
        </w:tabs>
        <w:spacing w:before="0" w:after="0" w:line="240" w:lineRule="auto"/>
        <w:ind w:left="1485" w:right="0" w:hanging="421"/>
        <w:jc w:val="left"/>
        <w:rPr>
          <w:sz w:val="24"/>
        </w:rPr>
      </w:pPr>
      <w:r>
        <w:rPr>
          <w:sz w:val="24"/>
        </w:rPr>
        <w:t>负责审核人员、各类专管人员（包括分公司）的评价、评定、聘用和管理；</w:t>
      </w:r>
    </w:p>
    <w:p>
      <w:pPr>
        <w:pStyle w:val="3"/>
        <w:spacing w:before="2"/>
        <w:rPr>
          <w:sz w:val="18"/>
        </w:rPr>
      </w:pPr>
    </w:p>
    <w:p>
      <w:pPr>
        <w:pStyle w:val="7"/>
        <w:numPr>
          <w:ilvl w:val="0"/>
          <w:numId w:val="5"/>
        </w:numPr>
        <w:tabs>
          <w:tab w:val="left" w:pos="1485"/>
          <w:tab w:val="left" w:pos="1486"/>
        </w:tabs>
        <w:spacing w:before="0" w:after="0" w:line="240" w:lineRule="auto"/>
        <w:ind w:left="1485" w:right="0" w:hanging="421"/>
        <w:jc w:val="left"/>
        <w:rPr>
          <w:sz w:val="24"/>
        </w:rPr>
      </w:pPr>
      <w:r>
        <w:rPr>
          <w:sz w:val="24"/>
        </w:rPr>
        <w:t xml:space="preserve">负责认证/审核人员档案管理； </w:t>
      </w:r>
    </w:p>
    <w:p>
      <w:pPr>
        <w:pStyle w:val="7"/>
        <w:numPr>
          <w:ilvl w:val="0"/>
          <w:numId w:val="5"/>
        </w:numPr>
        <w:tabs>
          <w:tab w:val="left" w:pos="1485"/>
          <w:tab w:val="left" w:pos="1486"/>
        </w:tabs>
        <w:spacing w:before="149" w:after="0" w:line="240" w:lineRule="auto"/>
        <w:ind w:left="1485" w:right="0" w:hanging="421"/>
        <w:jc w:val="left"/>
        <w:rPr>
          <w:sz w:val="24"/>
        </w:rPr>
      </w:pPr>
      <w:r>
        <w:rPr>
          <w:sz w:val="24"/>
        </w:rPr>
        <w:t>组织员工业务培训和研讨交流活动，不断提高其知识/审核技能/</w:t>
      </w:r>
      <w:r>
        <w:rPr>
          <w:spacing w:val="-5"/>
          <w:sz w:val="24"/>
        </w:rPr>
        <w:t>规范管理能力。</w:t>
      </w:r>
      <w:r>
        <w:rPr>
          <w:sz w:val="24"/>
        </w:rPr>
        <w:t xml:space="preserve"> </w:t>
      </w:r>
    </w:p>
    <w:p>
      <w:pPr>
        <w:pStyle w:val="3"/>
        <w:spacing w:before="2"/>
        <w:rPr>
          <w:sz w:val="18"/>
        </w:rPr>
      </w:pPr>
    </w:p>
    <w:p>
      <w:pPr>
        <w:pStyle w:val="7"/>
        <w:numPr>
          <w:ilvl w:val="1"/>
          <w:numId w:val="1"/>
        </w:numPr>
        <w:tabs>
          <w:tab w:val="left" w:pos="1200"/>
        </w:tabs>
        <w:spacing w:before="0" w:after="0" w:line="422" w:lineRule="auto"/>
        <w:ind w:left="1065" w:right="7584" w:hanging="286"/>
        <w:jc w:val="left"/>
        <w:rPr>
          <w:sz w:val="24"/>
        </w:rPr>
      </w:pPr>
      <w:r>
        <w:rPr>
          <w:sz w:val="24"/>
        </w:rPr>
        <w:t xml:space="preserve">术语定义： 无 </w:t>
      </w:r>
    </w:p>
    <w:p>
      <w:pPr>
        <w:pStyle w:val="7"/>
        <w:numPr>
          <w:ilvl w:val="1"/>
          <w:numId w:val="1"/>
        </w:numPr>
        <w:tabs>
          <w:tab w:val="left" w:pos="1200"/>
        </w:tabs>
        <w:spacing w:before="0" w:after="0" w:line="305" w:lineRule="exact"/>
        <w:ind w:left="1199" w:right="0" w:hanging="421"/>
        <w:jc w:val="left"/>
        <w:rPr>
          <w:sz w:val="24"/>
        </w:rPr>
      </w:pPr>
      <w:r>
        <w:rPr>
          <w:sz w:val="24"/>
        </w:rPr>
        <w:t xml:space="preserve">相关文件： </w:t>
      </w:r>
    </w:p>
    <w:p>
      <w:pPr>
        <w:pStyle w:val="3"/>
        <w:spacing w:before="2"/>
        <w:rPr>
          <w:sz w:val="18"/>
        </w:rPr>
      </w:pPr>
    </w:p>
    <w:p>
      <w:pPr>
        <w:pStyle w:val="7"/>
        <w:numPr>
          <w:ilvl w:val="2"/>
          <w:numId w:val="1"/>
        </w:numPr>
        <w:tabs>
          <w:tab w:val="left" w:pos="1726"/>
        </w:tabs>
        <w:spacing w:before="0" w:after="0" w:line="240" w:lineRule="auto"/>
        <w:ind w:left="1725" w:right="0" w:hanging="661"/>
        <w:jc w:val="left"/>
        <w:rPr>
          <w:sz w:val="24"/>
        </w:rPr>
      </w:pPr>
      <w:r>
        <w:rPr>
          <w:sz w:val="24"/>
        </w:rPr>
        <w:t xml:space="preserve">程序文件： </w:t>
      </w:r>
    </w:p>
    <w:p>
      <w:pPr>
        <w:pStyle w:val="3"/>
        <w:spacing w:before="2"/>
        <w:rPr>
          <w:sz w:val="18"/>
        </w:rPr>
      </w:pPr>
    </w:p>
    <w:p>
      <w:pPr>
        <w:pStyle w:val="3"/>
        <w:ind w:left="1065"/>
      </w:pPr>
      <w:r>
        <w:rPr>
          <w:spacing w:val="-1"/>
        </w:rPr>
        <w:t>《文件控制程序》</w:t>
      </w:r>
      <w:r>
        <w:t xml:space="preserve">TDC-AD-DOC-P-001 </w:t>
      </w:r>
    </w:p>
    <w:p>
      <w:pPr>
        <w:pStyle w:val="3"/>
        <w:spacing w:before="2"/>
        <w:rPr>
          <w:sz w:val="18"/>
        </w:rPr>
      </w:pPr>
    </w:p>
    <w:p>
      <w:pPr>
        <w:pStyle w:val="3"/>
        <w:spacing w:before="1"/>
        <w:ind w:left="1065"/>
      </w:pPr>
      <w:r>
        <w:rPr>
          <w:spacing w:val="-1"/>
        </w:rPr>
        <w:t>《记录控制程序》</w:t>
      </w:r>
      <w:r>
        <w:t xml:space="preserve">TDC-AD-DOC-P-002 </w:t>
      </w:r>
    </w:p>
    <w:p>
      <w:pPr>
        <w:pStyle w:val="3"/>
        <w:spacing w:before="1"/>
        <w:rPr>
          <w:sz w:val="18"/>
        </w:rPr>
      </w:pPr>
    </w:p>
    <w:p>
      <w:pPr>
        <w:pStyle w:val="7"/>
        <w:numPr>
          <w:ilvl w:val="2"/>
          <w:numId w:val="1"/>
        </w:numPr>
        <w:tabs>
          <w:tab w:val="left" w:pos="1726"/>
        </w:tabs>
        <w:spacing w:before="0" w:after="0" w:line="240" w:lineRule="auto"/>
        <w:ind w:left="1725" w:right="0" w:hanging="661"/>
        <w:jc w:val="left"/>
        <w:rPr>
          <w:sz w:val="24"/>
        </w:rPr>
      </w:pPr>
      <w:r>
        <w:rPr>
          <w:sz w:val="24"/>
        </w:rPr>
        <w:t xml:space="preserve">作业标准：N/A </w:t>
      </w:r>
    </w:p>
    <w:p>
      <w:pPr>
        <w:pStyle w:val="3"/>
        <w:spacing w:before="2"/>
        <w:rPr>
          <w:sz w:val="18"/>
        </w:rPr>
      </w:pPr>
    </w:p>
    <w:p>
      <w:pPr>
        <w:pStyle w:val="7"/>
        <w:numPr>
          <w:ilvl w:val="2"/>
          <w:numId w:val="1"/>
        </w:numPr>
        <w:tabs>
          <w:tab w:val="left" w:pos="1726"/>
        </w:tabs>
        <w:spacing w:before="0" w:after="0" w:line="240" w:lineRule="auto"/>
        <w:ind w:left="1725" w:right="0" w:hanging="661"/>
        <w:jc w:val="left"/>
        <w:rPr>
          <w:sz w:val="24"/>
        </w:rPr>
      </w:pPr>
      <w:r>
        <w:rPr>
          <w:sz w:val="24"/>
        </w:rPr>
        <w:t xml:space="preserve">表格： </w:t>
      </w:r>
    </w:p>
    <w:p>
      <w:pPr>
        <w:pStyle w:val="3"/>
        <w:spacing w:before="2"/>
        <w:rPr>
          <w:sz w:val="18"/>
        </w:rPr>
      </w:pPr>
    </w:p>
    <w:p>
      <w:pPr>
        <w:pStyle w:val="3"/>
        <w:ind w:left="1065"/>
      </w:pPr>
      <w:r>
        <w:t xml:space="preserve">《受控文件清单》TDC-AD-DOC-F-001 </w:t>
      </w:r>
    </w:p>
    <w:p>
      <w:pPr>
        <w:pStyle w:val="3"/>
        <w:spacing w:before="2"/>
        <w:rPr>
          <w:sz w:val="18"/>
        </w:rPr>
      </w:pPr>
    </w:p>
    <w:p>
      <w:pPr>
        <w:pStyle w:val="7"/>
        <w:numPr>
          <w:ilvl w:val="2"/>
          <w:numId w:val="1"/>
        </w:numPr>
        <w:tabs>
          <w:tab w:val="left" w:pos="1726"/>
        </w:tabs>
        <w:spacing w:before="0" w:after="0" w:line="240" w:lineRule="auto"/>
        <w:ind w:left="1725" w:right="0" w:hanging="661"/>
        <w:jc w:val="left"/>
        <w:rPr>
          <w:sz w:val="24"/>
        </w:rPr>
      </w:pPr>
      <w:r>
        <w:rPr>
          <w:sz w:val="24"/>
        </w:rPr>
        <w:t xml:space="preserve">其他文件： </w:t>
      </w:r>
    </w:p>
    <w:p>
      <w:pPr>
        <w:pStyle w:val="3"/>
        <w:spacing w:before="2"/>
        <w:rPr>
          <w:sz w:val="18"/>
        </w:rPr>
      </w:pPr>
    </w:p>
    <w:p>
      <w:pPr>
        <w:pStyle w:val="3"/>
        <w:spacing w:line="422" w:lineRule="auto"/>
        <w:ind w:left="3048" w:right="131" w:hanging="1986"/>
      </w:pPr>
      <w:r>
        <w:t>Q/SY 1002.1-2013</w:t>
      </w:r>
      <w:r>
        <w:rPr>
          <w:spacing w:val="-12"/>
        </w:rPr>
        <w:t xml:space="preserve"> 中国石油天然气集团公司 健康、安全与环境管理体系 第 </w:t>
      </w:r>
      <w:r>
        <w:t>1</w:t>
      </w:r>
      <w:r>
        <w:rPr>
          <w:spacing w:val="-19"/>
        </w:rPr>
        <w:t xml:space="preserve"> 部分： </w:t>
      </w:r>
      <w:r>
        <w:t xml:space="preserve">规范 </w:t>
      </w:r>
    </w:p>
    <w:p>
      <w:pPr>
        <w:pStyle w:val="3"/>
        <w:spacing w:line="422" w:lineRule="auto"/>
        <w:ind w:left="1062" w:right="520"/>
      </w:pPr>
      <w:r>
        <w:t xml:space="preserve">Q/SHS 0001.1-2001 中国石油化工集团公司 安全、环境与健康（HSE）管理体系SY/T 6276-2014 石油天然气工业 健康、安全与环境管理体系 </w:t>
      </w:r>
    </w:p>
    <w:p>
      <w:pPr>
        <w:pStyle w:val="7"/>
        <w:numPr>
          <w:ilvl w:val="1"/>
          <w:numId w:val="1"/>
        </w:numPr>
        <w:tabs>
          <w:tab w:val="left" w:pos="1200"/>
        </w:tabs>
        <w:spacing w:before="0" w:after="0" w:line="305" w:lineRule="exact"/>
        <w:ind w:left="1199" w:right="0" w:hanging="421"/>
        <w:jc w:val="left"/>
        <w:rPr>
          <w:sz w:val="24"/>
        </w:rPr>
      </w:pPr>
      <w:r>
        <w:rPr>
          <w:sz w:val="24"/>
        </w:rPr>
        <w:t xml:space="preserve">使用设备：N/A </w:t>
      </w:r>
    </w:p>
    <w:p>
      <w:pPr>
        <w:pStyle w:val="2"/>
        <w:tabs>
          <w:tab w:val="left" w:pos="921"/>
        </w:tabs>
      </w:pPr>
      <w:r>
        <w:t>4.0</w:t>
      </w:r>
      <w:r>
        <w:tab/>
      </w:r>
      <w:r>
        <w:t>安全事项</w:t>
      </w:r>
    </w:p>
    <w:p>
      <w:pPr>
        <w:pStyle w:val="3"/>
        <w:spacing w:before="10"/>
        <w:rPr>
          <w:rFonts w:ascii="黑体"/>
          <w:b/>
          <w:sz w:val="26"/>
        </w:rPr>
      </w:pPr>
    </w:p>
    <w:p>
      <w:pPr>
        <w:pStyle w:val="3"/>
        <w:ind w:left="779"/>
      </w:pPr>
      <w:r>
        <w:t xml:space="preserve">N/A </w:t>
      </w:r>
    </w:p>
    <w:p>
      <w:pPr>
        <w:pStyle w:val="2"/>
        <w:numPr>
          <w:ilvl w:val="1"/>
          <w:numId w:val="6"/>
        </w:numPr>
        <w:tabs>
          <w:tab w:val="left" w:pos="921"/>
          <w:tab w:val="left" w:pos="922"/>
        </w:tabs>
        <w:spacing w:before="141" w:after="0" w:line="240" w:lineRule="auto"/>
        <w:ind w:left="921" w:right="0" w:hanging="710"/>
        <w:jc w:val="left"/>
      </w:pPr>
      <w:r>
        <w:t>作业程序</w:t>
      </w:r>
    </w:p>
    <w:p>
      <w:pPr>
        <w:pStyle w:val="3"/>
        <w:spacing w:before="10"/>
        <w:rPr>
          <w:rFonts w:ascii="黑体"/>
          <w:b/>
          <w:sz w:val="26"/>
        </w:rPr>
      </w:pPr>
    </w:p>
    <w:p>
      <w:pPr>
        <w:pStyle w:val="7"/>
        <w:numPr>
          <w:ilvl w:val="1"/>
          <w:numId w:val="6"/>
        </w:numPr>
        <w:tabs>
          <w:tab w:val="left" w:pos="1200"/>
        </w:tabs>
        <w:spacing w:before="0" w:after="0" w:line="240" w:lineRule="auto"/>
        <w:ind w:left="1199" w:right="0" w:hanging="421"/>
        <w:jc w:val="left"/>
        <w:rPr>
          <w:sz w:val="24"/>
        </w:rPr>
      </w:pPr>
      <w:r>
        <w:rPr>
          <w:sz w:val="24"/>
        </w:rPr>
        <w:t xml:space="preserve">认证的申请 </w:t>
      </w:r>
    </w:p>
    <w:p>
      <w:pPr>
        <w:pStyle w:val="3"/>
        <w:spacing w:before="2"/>
        <w:rPr>
          <w:sz w:val="18"/>
        </w:rPr>
      </w:pPr>
    </w:p>
    <w:p>
      <w:pPr>
        <w:pStyle w:val="7"/>
        <w:numPr>
          <w:ilvl w:val="2"/>
          <w:numId w:val="6"/>
        </w:numPr>
        <w:tabs>
          <w:tab w:val="left" w:pos="1440"/>
        </w:tabs>
        <w:spacing w:before="1" w:after="0" w:line="240" w:lineRule="auto"/>
        <w:ind w:left="1439" w:right="0" w:hanging="661"/>
        <w:jc w:val="left"/>
        <w:rPr>
          <w:sz w:val="24"/>
        </w:rPr>
      </w:pPr>
      <w:r>
        <w:rPr>
          <w:sz w:val="24"/>
        </w:rPr>
        <w:t xml:space="preserve">申请管理体系认证的条件： </w:t>
      </w:r>
    </w:p>
    <w:p>
      <w:pPr>
        <w:pStyle w:val="3"/>
        <w:spacing w:before="1"/>
        <w:rPr>
          <w:sz w:val="18"/>
        </w:rPr>
      </w:pPr>
    </w:p>
    <w:p>
      <w:pPr>
        <w:pStyle w:val="7"/>
        <w:numPr>
          <w:ilvl w:val="3"/>
          <w:numId w:val="6"/>
        </w:numPr>
        <w:tabs>
          <w:tab w:val="left" w:pos="1774"/>
        </w:tabs>
        <w:spacing w:before="0" w:after="0" w:line="240" w:lineRule="auto"/>
        <w:ind w:left="1773" w:right="0" w:hanging="284"/>
        <w:jc w:val="left"/>
        <w:rPr>
          <w:sz w:val="24"/>
        </w:rPr>
      </w:pPr>
      <w:r>
        <w:rPr>
          <w:sz w:val="24"/>
        </w:rPr>
        <w:t xml:space="preserve">具有法律地位； </w:t>
      </w:r>
    </w:p>
    <w:p>
      <w:pPr>
        <w:pStyle w:val="7"/>
        <w:numPr>
          <w:ilvl w:val="3"/>
          <w:numId w:val="6"/>
        </w:numPr>
        <w:tabs>
          <w:tab w:val="left" w:pos="1774"/>
        </w:tabs>
        <w:spacing w:before="233" w:after="0" w:line="240" w:lineRule="auto"/>
        <w:ind w:left="1773" w:right="0" w:hanging="284"/>
        <w:jc w:val="left"/>
        <w:rPr>
          <w:sz w:val="24"/>
        </w:rPr>
      </w:pPr>
      <w:r>
        <w:rPr>
          <w:sz w:val="24"/>
        </w:rPr>
        <w:t xml:space="preserve">从业条件中，有行政许可要求的，应取得相应资格并在有效期内； </w:t>
      </w:r>
    </w:p>
    <w:p>
      <w:pPr>
        <w:pStyle w:val="7"/>
        <w:numPr>
          <w:ilvl w:val="3"/>
          <w:numId w:val="6"/>
        </w:numPr>
        <w:tabs>
          <w:tab w:val="left" w:pos="1774"/>
        </w:tabs>
        <w:spacing w:before="232" w:after="0" w:line="240" w:lineRule="auto"/>
        <w:ind w:left="1773" w:right="0" w:hanging="284"/>
        <w:jc w:val="left"/>
        <w:rPr>
          <w:sz w:val="24"/>
        </w:rPr>
      </w:pPr>
      <w:r>
        <w:rPr>
          <w:sz w:val="24"/>
        </w:rPr>
        <w:t xml:space="preserve">产品、服务及过程符合国家相关法律法规和标准要求； </w:t>
      </w:r>
    </w:p>
    <w:p>
      <w:pPr>
        <w:pStyle w:val="7"/>
        <w:numPr>
          <w:ilvl w:val="3"/>
          <w:numId w:val="6"/>
        </w:numPr>
        <w:tabs>
          <w:tab w:val="left" w:pos="1774"/>
        </w:tabs>
        <w:spacing w:before="233" w:after="0" w:line="240" w:lineRule="auto"/>
        <w:ind w:left="1773" w:right="0" w:hanging="284"/>
        <w:jc w:val="left"/>
        <w:rPr>
          <w:sz w:val="24"/>
        </w:rPr>
      </w:pPr>
      <w:r>
        <w:rPr>
          <w:sz w:val="24"/>
        </w:rPr>
        <w:t xml:space="preserve">已着手建立文件化的管理体系； </w:t>
      </w:r>
    </w:p>
    <w:p>
      <w:pPr>
        <w:pStyle w:val="7"/>
        <w:numPr>
          <w:ilvl w:val="3"/>
          <w:numId w:val="6"/>
        </w:numPr>
        <w:tabs>
          <w:tab w:val="left" w:pos="1774"/>
        </w:tabs>
        <w:spacing w:before="149" w:after="0" w:line="240" w:lineRule="auto"/>
        <w:ind w:left="1773" w:right="0" w:hanging="284"/>
        <w:jc w:val="left"/>
        <w:rPr>
          <w:sz w:val="24"/>
        </w:rPr>
      </w:pPr>
      <w:r>
        <w:rPr>
          <w:sz w:val="24"/>
        </w:rPr>
        <w:t xml:space="preserve">本年度无重大环境和职业健康安全事故； </w:t>
      </w:r>
    </w:p>
    <w:p>
      <w:pPr>
        <w:pStyle w:val="7"/>
        <w:numPr>
          <w:ilvl w:val="3"/>
          <w:numId w:val="6"/>
        </w:numPr>
        <w:tabs>
          <w:tab w:val="left" w:pos="1774"/>
        </w:tabs>
        <w:spacing w:before="233" w:after="0" w:line="240" w:lineRule="auto"/>
        <w:ind w:left="1773" w:right="0" w:hanging="284"/>
        <w:jc w:val="left"/>
        <w:rPr>
          <w:sz w:val="24"/>
        </w:rPr>
      </w:pPr>
      <w:r>
        <w:rPr>
          <w:sz w:val="24"/>
        </w:rPr>
        <w:t xml:space="preserve">管理体系运行三个月以上； </w:t>
      </w:r>
    </w:p>
    <w:p>
      <w:pPr>
        <w:pStyle w:val="7"/>
        <w:numPr>
          <w:ilvl w:val="3"/>
          <w:numId w:val="6"/>
        </w:numPr>
        <w:tabs>
          <w:tab w:val="left" w:pos="1774"/>
        </w:tabs>
        <w:spacing w:before="232" w:after="0" w:line="422" w:lineRule="auto"/>
        <w:ind w:left="1773" w:right="251" w:hanging="284"/>
        <w:jc w:val="left"/>
        <w:rPr>
          <w:sz w:val="24"/>
        </w:rPr>
      </w:pPr>
      <w:r>
        <w:rPr>
          <w:spacing w:val="-5"/>
          <w:sz w:val="24"/>
        </w:rPr>
        <w:t>至少进行过一次管理体系内部审核与管理评审，且内审覆盖申请范围所有的产</w:t>
      </w:r>
      <w:r>
        <w:rPr>
          <w:sz w:val="24"/>
        </w:rPr>
        <w:t xml:space="preserve">品或服务、过程、场所和认证标准要求。 </w:t>
      </w:r>
    </w:p>
    <w:p>
      <w:pPr>
        <w:pStyle w:val="7"/>
        <w:numPr>
          <w:ilvl w:val="2"/>
          <w:numId w:val="6"/>
        </w:numPr>
        <w:tabs>
          <w:tab w:val="left" w:pos="1440"/>
        </w:tabs>
        <w:spacing w:before="0" w:after="0" w:line="305" w:lineRule="exact"/>
        <w:ind w:left="1439" w:right="0" w:hanging="661"/>
        <w:jc w:val="left"/>
        <w:rPr>
          <w:sz w:val="24"/>
        </w:rPr>
      </w:pPr>
      <w:r>
        <w:rPr>
          <w:sz w:val="24"/>
        </w:rPr>
        <w:t xml:space="preserve">申请方应向公司提供： </w:t>
      </w:r>
    </w:p>
    <w:p>
      <w:pPr>
        <w:pStyle w:val="3"/>
        <w:spacing w:before="2"/>
        <w:rPr>
          <w:sz w:val="18"/>
        </w:rPr>
      </w:pPr>
    </w:p>
    <w:p>
      <w:pPr>
        <w:pStyle w:val="7"/>
        <w:numPr>
          <w:ilvl w:val="3"/>
          <w:numId w:val="6"/>
        </w:numPr>
        <w:tabs>
          <w:tab w:val="left" w:pos="1774"/>
        </w:tabs>
        <w:spacing w:before="0" w:after="0" w:line="422" w:lineRule="auto"/>
        <w:ind w:left="1773" w:right="251" w:hanging="284"/>
        <w:jc w:val="left"/>
        <w:rPr>
          <w:sz w:val="24"/>
        </w:rPr>
      </w:pPr>
      <w:r>
        <w:rPr>
          <w:spacing w:val="-9"/>
          <w:sz w:val="24"/>
        </w:rPr>
        <w:t>认证申请书，申请书应包括申请认证的生产、经营或服务活动范围及活动情况</w:t>
      </w:r>
      <w:r>
        <w:rPr>
          <w:sz w:val="24"/>
        </w:rPr>
        <w:t xml:space="preserve">的说明。 </w:t>
      </w:r>
    </w:p>
    <w:p>
      <w:pPr>
        <w:pStyle w:val="7"/>
        <w:numPr>
          <w:ilvl w:val="3"/>
          <w:numId w:val="6"/>
        </w:numPr>
        <w:tabs>
          <w:tab w:val="left" w:pos="1774"/>
        </w:tabs>
        <w:spacing w:before="0" w:after="0" w:line="422" w:lineRule="auto"/>
        <w:ind w:left="1773" w:right="131" w:hanging="284"/>
        <w:jc w:val="left"/>
        <w:rPr>
          <w:sz w:val="24"/>
        </w:rPr>
      </w:pPr>
      <w:r>
        <w:rPr>
          <w:spacing w:val="-15"/>
          <w:sz w:val="24"/>
        </w:rPr>
        <w:t xml:space="preserve">法律地位的证明文件的复印件。若健康、安全与环境管理体系覆盖多场所活动， </w:t>
      </w:r>
      <w:r>
        <w:rPr>
          <w:sz w:val="24"/>
        </w:rPr>
        <w:t>应附每个场所的法律地位证明文件的复印件（适用时</w:t>
      </w:r>
      <w:r>
        <w:rPr>
          <w:spacing w:val="-120"/>
          <w:sz w:val="24"/>
        </w:rPr>
        <w:t>）</w:t>
      </w:r>
      <w:r>
        <w:rPr>
          <w:sz w:val="24"/>
        </w:rPr>
        <w:t xml:space="preserve">。 </w:t>
      </w:r>
    </w:p>
    <w:p>
      <w:pPr>
        <w:pStyle w:val="7"/>
        <w:numPr>
          <w:ilvl w:val="3"/>
          <w:numId w:val="6"/>
        </w:numPr>
        <w:tabs>
          <w:tab w:val="left" w:pos="1774"/>
        </w:tabs>
        <w:spacing w:before="0" w:after="0" w:line="422" w:lineRule="auto"/>
        <w:ind w:left="1773" w:right="169" w:hanging="284"/>
        <w:jc w:val="left"/>
        <w:rPr>
          <w:sz w:val="24"/>
        </w:rPr>
      </w:pPr>
      <w:r>
        <w:rPr>
          <w:spacing w:val="-1"/>
          <w:sz w:val="24"/>
        </w:rPr>
        <w:t>健康、安全与环境管理体系覆盖的活动所涉及法律法规要求的行政许可证明、</w:t>
      </w:r>
      <w:r>
        <w:rPr>
          <w:sz w:val="24"/>
        </w:rPr>
        <w:t xml:space="preserve">资质证书、强制性认证证书等的复印件。 </w:t>
      </w:r>
    </w:p>
    <w:p>
      <w:pPr>
        <w:pStyle w:val="7"/>
        <w:numPr>
          <w:ilvl w:val="3"/>
          <w:numId w:val="6"/>
        </w:numPr>
        <w:tabs>
          <w:tab w:val="left" w:pos="1774"/>
        </w:tabs>
        <w:spacing w:before="0" w:after="0" w:line="305" w:lineRule="exact"/>
        <w:ind w:left="1773" w:right="0" w:hanging="284"/>
        <w:jc w:val="left"/>
        <w:rPr>
          <w:sz w:val="24"/>
        </w:rPr>
      </w:pPr>
      <w:r>
        <w:rPr>
          <w:sz w:val="24"/>
        </w:rPr>
        <w:t xml:space="preserve">健康、安全与环境管理体系成文信息 (适用时)。 </w:t>
      </w:r>
    </w:p>
    <w:p>
      <w:pPr>
        <w:pStyle w:val="7"/>
        <w:numPr>
          <w:ilvl w:val="2"/>
          <w:numId w:val="6"/>
        </w:numPr>
        <w:tabs>
          <w:tab w:val="left" w:pos="1452"/>
        </w:tabs>
        <w:spacing w:before="229" w:after="0" w:line="422" w:lineRule="auto"/>
        <w:ind w:left="779" w:right="251" w:firstLine="0"/>
        <w:jc w:val="both"/>
        <w:rPr>
          <w:sz w:val="24"/>
        </w:rPr>
      </w:pPr>
      <w:r>
        <w:rPr>
          <w:spacing w:val="-1"/>
          <w:sz w:val="24"/>
        </w:rPr>
        <w:t>公司在收到申请之后，对申请组织提交的申请资料进行评审，根据申请认证的活</w:t>
      </w:r>
      <w:r>
        <w:rPr>
          <w:spacing w:val="-7"/>
          <w:sz w:val="24"/>
        </w:rPr>
        <w:t>动范围及场所、员工人数、完成审核所需时间和其他影响认证活动的因素，综合确定是</w:t>
      </w:r>
      <w:r>
        <w:rPr>
          <w:sz w:val="24"/>
        </w:rPr>
        <w:t xml:space="preserve">否有能力受理认证申请。 </w:t>
      </w:r>
    </w:p>
    <w:p>
      <w:pPr>
        <w:pStyle w:val="3"/>
        <w:spacing w:line="422" w:lineRule="auto"/>
        <w:ind w:left="779" w:right="251"/>
      </w:pPr>
      <w:r>
        <w:t xml:space="preserve">对被执法监管部门责令停业整顿或在全国企业信用信息公示系统中被列入“严重违法企业名单”的申请组织，公司不应受理其认证申请。 </w:t>
      </w:r>
    </w:p>
    <w:p>
      <w:pPr>
        <w:pStyle w:val="7"/>
        <w:numPr>
          <w:ilvl w:val="2"/>
          <w:numId w:val="6"/>
        </w:numPr>
        <w:tabs>
          <w:tab w:val="left" w:pos="1452"/>
        </w:tabs>
        <w:spacing w:before="0" w:after="0" w:line="422" w:lineRule="auto"/>
        <w:ind w:left="779" w:right="251" w:firstLine="0"/>
        <w:jc w:val="both"/>
        <w:rPr>
          <w:sz w:val="24"/>
        </w:rPr>
      </w:pPr>
      <w:r>
        <w:rPr>
          <w:sz w:val="24"/>
        </w:rPr>
        <w:t>对符合 5.1.1、5.1.2</w:t>
      </w:r>
      <w:r>
        <w:rPr>
          <w:spacing w:val="-1"/>
          <w:sz w:val="24"/>
        </w:rPr>
        <w:t xml:space="preserve"> 要求的，认证机构可决定受理认证申请；对不符合上述要</w:t>
      </w:r>
      <w:r>
        <w:rPr>
          <w:spacing w:val="-7"/>
          <w:sz w:val="24"/>
        </w:rPr>
        <w:t>求的，认证机构应通知申请组织补充和完善，或者不受理认证申请。评审结束应对申请</w:t>
      </w:r>
      <w:r>
        <w:rPr>
          <w:sz w:val="24"/>
        </w:rPr>
        <w:t xml:space="preserve">方做出受理与否的书面答复； </w:t>
      </w:r>
    </w:p>
    <w:p>
      <w:pPr>
        <w:pStyle w:val="7"/>
        <w:numPr>
          <w:ilvl w:val="2"/>
          <w:numId w:val="6"/>
        </w:numPr>
        <w:tabs>
          <w:tab w:val="left" w:pos="1440"/>
        </w:tabs>
        <w:spacing w:before="0" w:after="0" w:line="304" w:lineRule="exact"/>
        <w:ind w:left="1439" w:right="0" w:hanging="661"/>
        <w:jc w:val="both"/>
        <w:rPr>
          <w:sz w:val="24"/>
        </w:rPr>
      </w:pPr>
      <w:r>
        <w:rPr>
          <w:spacing w:val="-6"/>
          <w:sz w:val="24"/>
        </w:rPr>
        <w:t xml:space="preserve">对可受理的申请，双方签订《管理体系认证合同》。 </w:t>
      </w:r>
    </w:p>
    <w:p>
      <w:pPr>
        <w:pStyle w:val="3"/>
        <w:spacing w:before="9"/>
        <w:rPr>
          <w:sz w:val="17"/>
        </w:rPr>
      </w:pPr>
    </w:p>
    <w:p>
      <w:pPr>
        <w:pStyle w:val="7"/>
        <w:numPr>
          <w:ilvl w:val="1"/>
          <w:numId w:val="6"/>
        </w:numPr>
        <w:tabs>
          <w:tab w:val="left" w:pos="1200"/>
        </w:tabs>
        <w:spacing w:before="0" w:after="0" w:line="240" w:lineRule="auto"/>
        <w:ind w:left="1199" w:right="0" w:hanging="421"/>
        <w:jc w:val="both"/>
        <w:rPr>
          <w:sz w:val="24"/>
        </w:rPr>
      </w:pPr>
      <w:r>
        <w:rPr>
          <w:sz w:val="24"/>
        </w:rPr>
        <w:t xml:space="preserve">审核准备 </w:t>
      </w:r>
    </w:p>
    <w:p>
      <w:pPr>
        <w:pStyle w:val="3"/>
        <w:spacing w:before="1"/>
        <w:rPr>
          <w:sz w:val="18"/>
        </w:rPr>
      </w:pPr>
    </w:p>
    <w:p>
      <w:pPr>
        <w:pStyle w:val="7"/>
        <w:numPr>
          <w:ilvl w:val="2"/>
          <w:numId w:val="6"/>
        </w:numPr>
        <w:tabs>
          <w:tab w:val="left" w:pos="1440"/>
        </w:tabs>
        <w:spacing w:before="1" w:after="0" w:line="240" w:lineRule="auto"/>
        <w:ind w:left="1439" w:right="0" w:hanging="661"/>
        <w:jc w:val="both"/>
        <w:rPr>
          <w:sz w:val="24"/>
        </w:rPr>
      </w:pPr>
      <w:r>
        <w:rPr>
          <w:sz w:val="24"/>
        </w:rPr>
        <w:t xml:space="preserve">对认证审核人员的基本要求 </w:t>
      </w:r>
    </w:p>
    <w:p>
      <w:pPr>
        <w:pStyle w:val="3"/>
        <w:spacing w:before="1"/>
        <w:rPr>
          <w:sz w:val="18"/>
        </w:rPr>
      </w:pPr>
    </w:p>
    <w:p>
      <w:pPr>
        <w:pStyle w:val="7"/>
        <w:numPr>
          <w:ilvl w:val="0"/>
          <w:numId w:val="7"/>
        </w:numPr>
        <w:tabs>
          <w:tab w:val="left" w:pos="1632"/>
        </w:tabs>
        <w:spacing w:before="0" w:after="0" w:line="422" w:lineRule="auto"/>
        <w:ind w:left="1631" w:right="246" w:hanging="286"/>
        <w:jc w:val="left"/>
        <w:rPr>
          <w:sz w:val="24"/>
        </w:rPr>
      </w:pPr>
      <w:r>
        <w:rPr>
          <w:spacing w:val="1"/>
          <w:sz w:val="24"/>
        </w:rPr>
        <w:t xml:space="preserve">认证审核员应当取得国家认监委确定的 </w:t>
      </w:r>
      <w:r>
        <w:rPr>
          <w:sz w:val="24"/>
        </w:rPr>
        <w:t>CCAA</w:t>
      </w:r>
      <w:r>
        <w:rPr>
          <w:spacing w:val="-1"/>
          <w:sz w:val="24"/>
        </w:rPr>
        <w:t xml:space="preserve"> 颁发的环境、职业健康安全管理</w:t>
      </w:r>
      <w:r>
        <w:rPr>
          <w:sz w:val="24"/>
        </w:rPr>
        <w:t xml:space="preserve">体系审核员注册资格。 </w:t>
      </w:r>
    </w:p>
    <w:p>
      <w:pPr>
        <w:pStyle w:val="7"/>
        <w:numPr>
          <w:ilvl w:val="0"/>
          <w:numId w:val="7"/>
        </w:numPr>
        <w:tabs>
          <w:tab w:val="left" w:pos="1632"/>
        </w:tabs>
        <w:spacing w:before="149" w:after="0" w:line="422" w:lineRule="auto"/>
        <w:ind w:left="1631" w:right="244" w:hanging="286"/>
        <w:jc w:val="left"/>
        <w:rPr>
          <w:sz w:val="24"/>
        </w:rPr>
      </w:pPr>
      <w:r>
        <w:rPr>
          <w:spacing w:val="-1"/>
          <w:sz w:val="24"/>
        </w:rPr>
        <w:t>认证人员应当遵守与从业相关的法律法规，对认证审核活动及相关认证审核记</w:t>
      </w:r>
      <w:r>
        <w:rPr>
          <w:sz w:val="24"/>
        </w:rPr>
        <w:t xml:space="preserve">录和认证审核报告的真实性承担相应的法律责任。 </w:t>
      </w:r>
    </w:p>
    <w:p>
      <w:pPr>
        <w:pStyle w:val="7"/>
        <w:numPr>
          <w:ilvl w:val="2"/>
          <w:numId w:val="6"/>
        </w:numPr>
        <w:tabs>
          <w:tab w:val="left" w:pos="1440"/>
        </w:tabs>
        <w:spacing w:before="0" w:after="0" w:line="305" w:lineRule="exact"/>
        <w:ind w:left="1439" w:right="0" w:hanging="661"/>
        <w:jc w:val="both"/>
        <w:rPr>
          <w:sz w:val="24"/>
        </w:rPr>
      </w:pPr>
      <w:r>
        <w:rPr>
          <w:sz w:val="24"/>
        </w:rPr>
        <w:t xml:space="preserve">审核方案的策划 </w:t>
      </w:r>
    </w:p>
    <w:p>
      <w:pPr>
        <w:pStyle w:val="3"/>
        <w:spacing w:before="2"/>
        <w:rPr>
          <w:sz w:val="18"/>
        </w:rPr>
      </w:pPr>
    </w:p>
    <w:p>
      <w:pPr>
        <w:pStyle w:val="7"/>
        <w:numPr>
          <w:ilvl w:val="3"/>
          <w:numId w:val="8"/>
        </w:numPr>
        <w:tabs>
          <w:tab w:val="left" w:pos="1680"/>
        </w:tabs>
        <w:spacing w:before="0" w:after="0" w:line="240" w:lineRule="auto"/>
        <w:ind w:left="1679" w:right="0" w:hanging="901"/>
        <w:jc w:val="left"/>
        <w:rPr>
          <w:sz w:val="24"/>
        </w:rPr>
      </w:pPr>
      <w:r>
        <w:rPr>
          <w:sz w:val="24"/>
        </w:rPr>
        <w:t xml:space="preserve">审核时间 </w:t>
      </w:r>
    </w:p>
    <w:p>
      <w:pPr>
        <w:pStyle w:val="3"/>
        <w:spacing w:before="2"/>
        <w:rPr>
          <w:sz w:val="18"/>
        </w:rPr>
      </w:pPr>
    </w:p>
    <w:p>
      <w:pPr>
        <w:pStyle w:val="7"/>
        <w:numPr>
          <w:ilvl w:val="4"/>
          <w:numId w:val="8"/>
        </w:numPr>
        <w:tabs>
          <w:tab w:val="left" w:pos="1774"/>
        </w:tabs>
        <w:spacing w:before="0" w:after="0" w:line="422" w:lineRule="auto"/>
        <w:ind w:left="1773" w:right="131" w:hanging="284"/>
        <w:jc w:val="left"/>
        <w:rPr>
          <w:sz w:val="24"/>
        </w:rPr>
      </w:pPr>
      <w:r>
        <w:rPr>
          <w:spacing w:val="-7"/>
          <w:sz w:val="24"/>
        </w:rPr>
        <w:t xml:space="preserve">为确保认证审核的完整有效，认证机构应以附录 </w:t>
      </w:r>
      <w:r>
        <w:rPr>
          <w:sz w:val="24"/>
        </w:rPr>
        <w:t>A</w:t>
      </w:r>
      <w:r>
        <w:rPr>
          <w:spacing w:val="-2"/>
          <w:sz w:val="24"/>
        </w:rPr>
        <w:t xml:space="preserve"> 所规定的审核时间为基础， </w:t>
      </w:r>
      <w:r>
        <w:rPr>
          <w:spacing w:val="-6"/>
          <w:sz w:val="24"/>
        </w:rPr>
        <w:t>根据申请组织健康、安全与环境管理体系覆盖的活动范围、特性、技术复杂程</w:t>
      </w:r>
      <w:r>
        <w:rPr>
          <w:spacing w:val="-16"/>
          <w:sz w:val="24"/>
        </w:rPr>
        <w:t>度、环境、安全风险程度、认证要求和体系覆盖范围内的有效人数等情况， 核</w:t>
      </w:r>
      <w:r>
        <w:rPr>
          <w:spacing w:val="-18"/>
          <w:sz w:val="24"/>
        </w:rPr>
        <w:t xml:space="preserve">算并拟定完成审核工作需要的时间。在特殊情况下，可以减少审核时间，但减少的时间不得超过附录 A 所规定的审核时间的 30％。 </w:t>
      </w:r>
    </w:p>
    <w:p>
      <w:pPr>
        <w:pStyle w:val="7"/>
        <w:numPr>
          <w:ilvl w:val="4"/>
          <w:numId w:val="8"/>
        </w:numPr>
        <w:tabs>
          <w:tab w:val="left" w:pos="1774"/>
        </w:tabs>
        <w:spacing w:before="0" w:after="0" w:line="302" w:lineRule="exact"/>
        <w:ind w:left="1773" w:right="0" w:hanging="284"/>
        <w:jc w:val="left"/>
        <w:rPr>
          <w:sz w:val="24"/>
        </w:rPr>
      </w:pPr>
      <w:r>
        <w:rPr>
          <w:sz w:val="24"/>
        </w:rPr>
        <w:t xml:space="preserve">整个审核时间中，现场审核时间不应少于总审核时间的 80％。 </w:t>
      </w:r>
    </w:p>
    <w:p>
      <w:pPr>
        <w:pStyle w:val="7"/>
        <w:numPr>
          <w:ilvl w:val="4"/>
          <w:numId w:val="8"/>
        </w:numPr>
        <w:tabs>
          <w:tab w:val="left" w:pos="1774"/>
        </w:tabs>
        <w:spacing w:before="233" w:after="0" w:line="422" w:lineRule="auto"/>
        <w:ind w:left="1773" w:right="251" w:hanging="284"/>
        <w:jc w:val="both"/>
        <w:rPr>
          <w:sz w:val="24"/>
        </w:rPr>
      </w:pPr>
      <w:r>
        <w:rPr>
          <w:spacing w:val="-23"/>
          <w:sz w:val="24"/>
        </w:rPr>
        <w:t xml:space="preserve">当 </w:t>
      </w:r>
      <w:r>
        <w:rPr>
          <w:sz w:val="24"/>
        </w:rPr>
        <w:t>HSE</w:t>
      </w:r>
      <w:r>
        <w:rPr>
          <w:spacing w:val="-9"/>
          <w:sz w:val="24"/>
        </w:rPr>
        <w:t xml:space="preserve"> 管理体系、</w:t>
      </w:r>
      <w:r>
        <w:rPr>
          <w:sz w:val="24"/>
        </w:rPr>
        <w:t>EMS、OHSMS</w:t>
      </w:r>
      <w:r>
        <w:rPr>
          <w:spacing w:val="-11"/>
          <w:sz w:val="24"/>
        </w:rPr>
        <w:t xml:space="preserve"> 结合审核时，可在 </w:t>
      </w:r>
      <w:r>
        <w:rPr>
          <w:sz w:val="24"/>
        </w:rPr>
        <w:t>EMS</w:t>
      </w:r>
      <w:r>
        <w:rPr>
          <w:spacing w:val="-31"/>
          <w:sz w:val="24"/>
        </w:rPr>
        <w:t xml:space="preserve"> 和 </w:t>
      </w:r>
      <w:r>
        <w:rPr>
          <w:sz w:val="24"/>
        </w:rPr>
        <w:t>OHSMS</w:t>
      </w:r>
      <w:r>
        <w:rPr>
          <w:spacing w:val="-11"/>
          <w:sz w:val="24"/>
        </w:rPr>
        <w:t xml:space="preserve"> 结合审核计算</w:t>
      </w:r>
      <w:r>
        <w:rPr>
          <w:spacing w:val="-3"/>
          <w:sz w:val="24"/>
        </w:rPr>
        <w:t xml:space="preserve">出的人日基础上根据审核组专业配备情况至少增加 </w:t>
      </w:r>
      <w:r>
        <w:rPr>
          <w:sz w:val="24"/>
        </w:rPr>
        <w:t>1</w:t>
      </w:r>
      <w:r>
        <w:rPr>
          <w:spacing w:val="-17"/>
          <w:sz w:val="24"/>
        </w:rPr>
        <w:t xml:space="preserve"> 人日。其他情况结合审核</w:t>
      </w:r>
      <w:r>
        <w:rPr>
          <w:spacing w:val="-3"/>
          <w:sz w:val="24"/>
        </w:rPr>
        <w:t xml:space="preserve">的审核时间人日数，不得少于多个单独体系所需审核时间之和的 </w:t>
      </w:r>
      <w:r>
        <w:rPr>
          <w:sz w:val="24"/>
        </w:rPr>
        <w:t xml:space="preserve">80%。 </w:t>
      </w:r>
    </w:p>
    <w:p>
      <w:pPr>
        <w:pStyle w:val="7"/>
        <w:numPr>
          <w:ilvl w:val="3"/>
          <w:numId w:val="8"/>
        </w:numPr>
        <w:tabs>
          <w:tab w:val="left" w:pos="1680"/>
        </w:tabs>
        <w:spacing w:before="0" w:after="0" w:line="304" w:lineRule="exact"/>
        <w:ind w:left="1679" w:right="0" w:hanging="901"/>
        <w:jc w:val="both"/>
        <w:rPr>
          <w:sz w:val="24"/>
        </w:rPr>
      </w:pPr>
      <w:r>
        <w:rPr>
          <w:sz w:val="24"/>
        </w:rPr>
        <w:t xml:space="preserve">审核组 </w:t>
      </w:r>
    </w:p>
    <w:p>
      <w:pPr>
        <w:pStyle w:val="3"/>
        <w:spacing w:before="1"/>
        <w:rPr>
          <w:sz w:val="18"/>
        </w:rPr>
      </w:pPr>
    </w:p>
    <w:p>
      <w:pPr>
        <w:pStyle w:val="7"/>
        <w:numPr>
          <w:ilvl w:val="4"/>
          <w:numId w:val="8"/>
        </w:numPr>
        <w:tabs>
          <w:tab w:val="left" w:pos="1774"/>
        </w:tabs>
        <w:spacing w:before="1" w:after="0" w:line="422" w:lineRule="auto"/>
        <w:ind w:left="1773" w:right="251" w:hanging="284"/>
        <w:jc w:val="both"/>
        <w:rPr>
          <w:sz w:val="24"/>
        </w:rPr>
      </w:pPr>
      <w:r>
        <w:rPr>
          <w:spacing w:val="-11"/>
          <w:sz w:val="24"/>
        </w:rPr>
        <w:t>根据健康、安全与环境管理体系覆盖的活动的专业技术领域选择具备相关能力</w:t>
      </w:r>
      <w:r>
        <w:rPr>
          <w:spacing w:val="-8"/>
          <w:sz w:val="24"/>
        </w:rPr>
        <w:t>的审核员组成审核组，必要时可以选择技术专家参加审核组。审核组中的审核</w:t>
      </w:r>
      <w:r>
        <w:rPr>
          <w:sz w:val="24"/>
        </w:rPr>
        <w:t xml:space="preserve">员承担审核任务和责任。 </w:t>
      </w:r>
    </w:p>
    <w:p>
      <w:pPr>
        <w:pStyle w:val="7"/>
        <w:numPr>
          <w:ilvl w:val="4"/>
          <w:numId w:val="8"/>
        </w:numPr>
        <w:tabs>
          <w:tab w:val="left" w:pos="1774"/>
        </w:tabs>
        <w:spacing w:before="0" w:after="0" w:line="422" w:lineRule="auto"/>
        <w:ind w:left="1773" w:right="251" w:hanging="284"/>
        <w:jc w:val="both"/>
        <w:rPr>
          <w:sz w:val="24"/>
        </w:rPr>
      </w:pPr>
      <w:r>
        <w:rPr>
          <w:spacing w:val="-6"/>
          <w:sz w:val="24"/>
        </w:rPr>
        <w:t>技术专家主要负责提供认证审核的技术支持，不作为审核员实施审核，不计入</w:t>
      </w:r>
      <w:r>
        <w:rPr>
          <w:sz w:val="24"/>
        </w:rPr>
        <w:t xml:space="preserve">审核时间，其在审核过程中的活动由审核组中的审核员承担责任。 </w:t>
      </w:r>
    </w:p>
    <w:p>
      <w:pPr>
        <w:pStyle w:val="7"/>
        <w:numPr>
          <w:ilvl w:val="4"/>
          <w:numId w:val="8"/>
        </w:numPr>
        <w:tabs>
          <w:tab w:val="left" w:pos="1774"/>
        </w:tabs>
        <w:spacing w:before="0" w:after="0" w:line="422" w:lineRule="auto"/>
        <w:ind w:left="1773" w:right="131" w:hanging="284"/>
        <w:jc w:val="left"/>
        <w:rPr>
          <w:sz w:val="24"/>
        </w:rPr>
      </w:pPr>
      <w:r>
        <w:rPr>
          <w:spacing w:val="-14"/>
          <w:sz w:val="24"/>
        </w:rPr>
        <w:t xml:space="preserve">审核组可以有实习审核员，其要在审核员的指导下参与审核，不计入审核时间， </w:t>
      </w:r>
      <w:r>
        <w:rPr>
          <w:spacing w:val="-7"/>
          <w:sz w:val="24"/>
        </w:rPr>
        <w:t xml:space="preserve">不单独出具记录等审核文件，其在审核过程中的活动由审核组中的审核员承担责任。 </w:t>
      </w:r>
    </w:p>
    <w:p>
      <w:pPr>
        <w:pStyle w:val="7"/>
        <w:numPr>
          <w:ilvl w:val="3"/>
          <w:numId w:val="8"/>
        </w:numPr>
        <w:tabs>
          <w:tab w:val="left" w:pos="1680"/>
        </w:tabs>
        <w:spacing w:before="0" w:after="0" w:line="304" w:lineRule="exact"/>
        <w:ind w:left="1679" w:right="0" w:hanging="901"/>
        <w:jc w:val="left"/>
        <w:rPr>
          <w:sz w:val="24"/>
        </w:rPr>
      </w:pPr>
      <w:r>
        <w:rPr>
          <w:sz w:val="24"/>
        </w:rPr>
        <w:t xml:space="preserve">审核计划 </w:t>
      </w:r>
    </w:p>
    <w:p>
      <w:pPr>
        <w:pStyle w:val="3"/>
        <w:spacing w:before="8"/>
        <w:rPr>
          <w:sz w:val="17"/>
        </w:rPr>
      </w:pPr>
    </w:p>
    <w:p>
      <w:pPr>
        <w:pStyle w:val="7"/>
        <w:numPr>
          <w:ilvl w:val="4"/>
          <w:numId w:val="8"/>
        </w:numPr>
        <w:tabs>
          <w:tab w:val="left" w:pos="1774"/>
        </w:tabs>
        <w:spacing w:before="0" w:after="0" w:line="422" w:lineRule="auto"/>
        <w:ind w:left="1773" w:right="169" w:hanging="284"/>
        <w:jc w:val="left"/>
      </w:pPr>
      <w:r>
        <w:rPr>
          <w:spacing w:val="-1"/>
          <w:sz w:val="24"/>
        </w:rPr>
        <w:t xml:space="preserve">应为每次审核制定书面的审核计划。审核计划至少包括以下内容：审核目的， </w:t>
      </w:r>
      <w:r>
        <w:rPr>
          <w:spacing w:val="-9"/>
          <w:sz w:val="24"/>
        </w:rPr>
        <w:t>审核准则，审核范围，现场审核的日期和场所，现场审核持续时间，审核组成</w:t>
      </w:r>
      <w:r>
        <w:rPr>
          <w:spacing w:val="-22"/>
        </w:rPr>
        <w:t>员</w:t>
      </w:r>
      <w:r>
        <w:t>（</w:t>
      </w:r>
      <w:r>
        <w:rPr>
          <w:spacing w:val="-8"/>
        </w:rPr>
        <w:t>其中：审核员应标明认证人员注册号、技术专家应标明专业代码、工作单</w:t>
      </w:r>
      <w:r>
        <w:t>位及专业技术职称</w:t>
      </w:r>
      <w:r>
        <w:rPr>
          <w:spacing w:val="-120"/>
        </w:rPr>
        <w:t>）</w:t>
      </w:r>
      <w:r>
        <w:t xml:space="preserve">。 </w:t>
      </w:r>
    </w:p>
    <w:p>
      <w:pPr>
        <w:pStyle w:val="7"/>
        <w:numPr>
          <w:ilvl w:val="4"/>
          <w:numId w:val="8"/>
        </w:numPr>
        <w:tabs>
          <w:tab w:val="left" w:pos="1774"/>
        </w:tabs>
        <w:spacing w:before="0" w:after="0" w:line="422" w:lineRule="auto"/>
        <w:ind w:left="1773" w:right="171" w:hanging="284"/>
        <w:jc w:val="left"/>
        <w:rPr>
          <w:sz w:val="24"/>
        </w:rPr>
      </w:pPr>
      <w:r>
        <w:rPr>
          <w:spacing w:val="-10"/>
          <w:sz w:val="24"/>
        </w:rPr>
        <w:t>如果健康、安全与环境管理体系覆盖范围包括在多个场所进行相同或相近的活动，且这些场所都处于申请组织授权和控制下，认证机构可以在审核中对这些</w:t>
      </w:r>
      <w:r>
        <w:rPr>
          <w:spacing w:val="-13"/>
          <w:sz w:val="24"/>
        </w:rPr>
        <w:t>场所进行抽样，但应根据相关要求实施抽样以确保对所抽样本进行的审核对质</w:t>
      </w:r>
      <w:r>
        <w:rPr>
          <w:spacing w:val="-14"/>
          <w:sz w:val="24"/>
        </w:rPr>
        <w:t>量管理体系包含的所有场所具有代表性。如果不同场所的活动存在明显差异、</w:t>
      </w:r>
      <w:r>
        <w:rPr>
          <w:spacing w:val="-4"/>
          <w:sz w:val="24"/>
        </w:rPr>
        <w:t xml:space="preserve">或不同场所间存在可能对质量管理有显著影响的区域性因素，则不能采用抽样审核的方法，应当逐一到各现场进行审核。 </w:t>
      </w:r>
    </w:p>
    <w:p>
      <w:pPr>
        <w:pStyle w:val="7"/>
        <w:numPr>
          <w:ilvl w:val="4"/>
          <w:numId w:val="8"/>
        </w:numPr>
        <w:tabs>
          <w:tab w:val="left" w:pos="1774"/>
        </w:tabs>
        <w:spacing w:before="0" w:after="0" w:line="422" w:lineRule="auto"/>
        <w:ind w:left="1773" w:right="251" w:hanging="284"/>
        <w:jc w:val="left"/>
        <w:rPr>
          <w:sz w:val="24"/>
        </w:rPr>
      </w:pPr>
      <w:r>
        <w:rPr>
          <w:spacing w:val="-5"/>
          <w:sz w:val="24"/>
        </w:rPr>
        <w:t>为使现场审核活动能够观察到产品生产或服务活动情况，现场审核应安排在认</w:t>
      </w:r>
      <w:r>
        <w:rPr>
          <w:sz w:val="24"/>
        </w:rPr>
        <w:t xml:space="preserve">证范围覆盖的产品生产或服务活动正常运行时进行。 </w:t>
      </w:r>
    </w:p>
    <w:p>
      <w:pPr>
        <w:pStyle w:val="7"/>
        <w:numPr>
          <w:ilvl w:val="4"/>
          <w:numId w:val="8"/>
        </w:numPr>
        <w:tabs>
          <w:tab w:val="left" w:pos="1774"/>
        </w:tabs>
        <w:spacing w:before="0" w:after="0" w:line="422" w:lineRule="auto"/>
        <w:ind w:left="1773" w:right="251" w:hanging="284"/>
        <w:jc w:val="left"/>
        <w:rPr>
          <w:sz w:val="24"/>
        </w:rPr>
      </w:pPr>
      <w:r>
        <w:rPr>
          <w:spacing w:val="-8"/>
          <w:sz w:val="24"/>
        </w:rPr>
        <w:t>在审核活动开始前，审核组应将审核计划交申请组织确认，遇特殊情况临时变</w:t>
      </w:r>
      <w:r>
        <w:rPr>
          <w:sz w:val="24"/>
        </w:rPr>
        <w:t xml:space="preserve">更计划时，应及时将变更情况通知申请组织，并协商一致。 </w:t>
      </w:r>
    </w:p>
    <w:p>
      <w:pPr>
        <w:pStyle w:val="7"/>
        <w:numPr>
          <w:ilvl w:val="1"/>
          <w:numId w:val="6"/>
        </w:numPr>
        <w:tabs>
          <w:tab w:val="left" w:pos="1200"/>
        </w:tabs>
        <w:spacing w:before="0" w:after="0" w:line="305" w:lineRule="exact"/>
        <w:ind w:left="1199" w:right="0" w:hanging="421"/>
        <w:jc w:val="left"/>
        <w:rPr>
          <w:sz w:val="24"/>
        </w:rPr>
      </w:pPr>
      <w:r>
        <w:rPr>
          <w:sz w:val="24"/>
        </w:rPr>
        <w:t xml:space="preserve">初次认证审核 </w:t>
      </w:r>
    </w:p>
    <w:p>
      <w:pPr>
        <w:pStyle w:val="3"/>
        <w:spacing w:before="4"/>
        <w:rPr>
          <w:sz w:val="17"/>
        </w:rPr>
      </w:pPr>
    </w:p>
    <w:p>
      <w:pPr>
        <w:pStyle w:val="3"/>
        <w:spacing w:line="422" w:lineRule="auto"/>
        <w:ind w:left="779" w:right="191"/>
      </w:pPr>
      <w:r>
        <w:t xml:space="preserve">审核组应当按照审核计划的安排完成审核工作。除不可预见的特殊情况外，审核过程中不得更换审核计划确定的审核员。 </w:t>
      </w:r>
    </w:p>
    <w:p>
      <w:pPr>
        <w:pStyle w:val="3"/>
        <w:spacing w:line="422" w:lineRule="auto"/>
        <w:ind w:left="779" w:right="131"/>
        <w:jc w:val="both"/>
      </w:pPr>
      <w:r>
        <w:rPr>
          <w:spacing w:val="-3"/>
        </w:rPr>
        <w:t>审核组应当会同申请组织按照程序顺序召开首、末次会议，申请组织的最高管理者及与</w:t>
      </w:r>
      <w:r>
        <w:rPr>
          <w:spacing w:val="-5"/>
        </w:rPr>
        <w:t>质量管理体系相关的职能部门负责人员应该参加会议。参会人员应签到，审核组应当保</w:t>
      </w:r>
      <w:r>
        <w:rPr>
          <w:spacing w:val="-18"/>
        </w:rPr>
        <w:t>留首、末次会议签到表。申请组织要求时，审核组成员应向申请组织出示身份证明文件。</w:t>
      </w:r>
      <w:r>
        <w:t xml:space="preserve"> </w:t>
      </w:r>
    </w:p>
    <w:p>
      <w:pPr>
        <w:pStyle w:val="7"/>
        <w:numPr>
          <w:ilvl w:val="2"/>
          <w:numId w:val="6"/>
        </w:numPr>
        <w:tabs>
          <w:tab w:val="left" w:pos="1440"/>
        </w:tabs>
        <w:spacing w:before="0" w:after="0" w:line="304" w:lineRule="exact"/>
        <w:ind w:left="1439" w:right="0" w:hanging="661"/>
        <w:jc w:val="both"/>
        <w:rPr>
          <w:sz w:val="24"/>
        </w:rPr>
      </w:pPr>
      <w:r>
        <w:rPr>
          <w:sz w:val="24"/>
        </w:rPr>
        <w:t xml:space="preserve">第一阶段现场审核 </w:t>
      </w:r>
    </w:p>
    <w:p>
      <w:pPr>
        <w:pStyle w:val="3"/>
        <w:spacing w:before="12"/>
        <w:rPr>
          <w:sz w:val="17"/>
        </w:rPr>
      </w:pPr>
    </w:p>
    <w:p>
      <w:pPr>
        <w:pStyle w:val="7"/>
        <w:numPr>
          <w:ilvl w:val="3"/>
          <w:numId w:val="9"/>
        </w:numPr>
        <w:tabs>
          <w:tab w:val="left" w:pos="1692"/>
        </w:tabs>
        <w:spacing w:before="0" w:after="0" w:line="422" w:lineRule="auto"/>
        <w:ind w:left="779" w:right="131" w:firstLine="0"/>
        <w:jc w:val="both"/>
        <w:rPr>
          <w:sz w:val="24"/>
        </w:rPr>
      </w:pPr>
      <w:r>
        <w:rPr>
          <w:sz w:val="24"/>
        </w:rPr>
        <w:t>管理体系初次审核通常由第一阶段审核和第二阶段审核两个阶段组成。第一阶</w:t>
      </w:r>
      <w:r>
        <w:rPr>
          <w:spacing w:val="-2"/>
          <w:sz w:val="24"/>
        </w:rPr>
        <w:t>段审核可分为非现场审核或现场审核，第一阶段审核可包括对文件审核的进一步确认。</w:t>
      </w:r>
      <w:r>
        <w:rPr>
          <w:sz w:val="24"/>
        </w:rPr>
        <w:t xml:space="preserve"> </w:t>
      </w:r>
    </w:p>
    <w:p>
      <w:pPr>
        <w:pStyle w:val="7"/>
        <w:numPr>
          <w:ilvl w:val="3"/>
          <w:numId w:val="9"/>
        </w:numPr>
        <w:tabs>
          <w:tab w:val="left" w:pos="1692"/>
        </w:tabs>
        <w:spacing w:before="0" w:after="0" w:line="422" w:lineRule="auto"/>
        <w:ind w:left="779" w:right="251" w:firstLine="0"/>
        <w:jc w:val="both"/>
        <w:rPr>
          <w:sz w:val="24"/>
        </w:rPr>
      </w:pPr>
      <w:r>
        <w:rPr>
          <w:spacing w:val="-1"/>
          <w:sz w:val="24"/>
        </w:rPr>
        <w:t>第一阶段审核的目的是通过对组织管理体系涉及的关键活动、危险源、环境因</w:t>
      </w:r>
      <w:r>
        <w:rPr>
          <w:spacing w:val="-6"/>
          <w:sz w:val="24"/>
        </w:rPr>
        <w:t>素及其影响，方针及目标策划情况来了解组织的管理体系，评价受审核方管理体系建立</w:t>
      </w:r>
      <w:r>
        <w:rPr>
          <w:sz w:val="24"/>
        </w:rPr>
        <w:t xml:space="preserve">及实施的基本情况，确定第二阶段审核关注点和可行性。 </w:t>
      </w:r>
    </w:p>
    <w:p>
      <w:pPr>
        <w:pStyle w:val="7"/>
        <w:numPr>
          <w:ilvl w:val="3"/>
          <w:numId w:val="9"/>
        </w:numPr>
        <w:tabs>
          <w:tab w:val="left" w:pos="1692"/>
        </w:tabs>
        <w:spacing w:before="0" w:after="0" w:line="304" w:lineRule="exact"/>
        <w:ind w:left="1691" w:right="0" w:hanging="913"/>
        <w:jc w:val="both"/>
        <w:rPr>
          <w:sz w:val="24"/>
        </w:rPr>
      </w:pPr>
      <w:r>
        <w:rPr>
          <w:sz w:val="24"/>
        </w:rPr>
        <w:t>第一阶段审核，首先对受审核方管理体系文件进行审核，出具《管理体系文件</w:t>
      </w:r>
    </w:p>
    <w:p>
      <w:pPr>
        <w:pStyle w:val="3"/>
        <w:spacing w:before="149" w:line="422" w:lineRule="auto"/>
        <w:ind w:left="779" w:right="246"/>
        <w:jc w:val="both"/>
      </w:pPr>
      <w:r>
        <w:rPr>
          <w:spacing w:val="-12"/>
        </w:rPr>
        <w:t>审查报告》，并将《管理体系文件审查报告》反馈给受审核方。文件修改的符合性可在</w:t>
      </w:r>
      <w:r>
        <w:rPr>
          <w:spacing w:val="-13"/>
        </w:rPr>
        <w:t xml:space="preserve">一阶段审核时确认，需要时，申请方对管理体系文件作适当修改后，再次报送公司进行评审。文件审查确认不影响现场审核时，才能安排现场审核。 </w:t>
      </w:r>
    </w:p>
    <w:p>
      <w:pPr>
        <w:pStyle w:val="7"/>
        <w:numPr>
          <w:ilvl w:val="3"/>
          <w:numId w:val="9"/>
        </w:numPr>
        <w:tabs>
          <w:tab w:val="left" w:pos="1680"/>
        </w:tabs>
        <w:spacing w:before="0" w:after="0" w:line="304" w:lineRule="exact"/>
        <w:ind w:left="1679" w:right="0" w:hanging="901"/>
        <w:jc w:val="both"/>
        <w:rPr>
          <w:sz w:val="24"/>
        </w:rPr>
      </w:pPr>
      <w:r>
        <w:rPr>
          <w:sz w:val="24"/>
        </w:rPr>
        <w:t xml:space="preserve">审核组长应及时将《审核计划》书面通知受审核方，并应得到受审核方确认。 </w:t>
      </w:r>
    </w:p>
    <w:p>
      <w:pPr>
        <w:pStyle w:val="3"/>
        <w:spacing w:before="2"/>
        <w:rPr>
          <w:sz w:val="18"/>
        </w:rPr>
      </w:pPr>
    </w:p>
    <w:p>
      <w:pPr>
        <w:pStyle w:val="7"/>
        <w:numPr>
          <w:ilvl w:val="3"/>
          <w:numId w:val="9"/>
        </w:numPr>
        <w:tabs>
          <w:tab w:val="left" w:pos="1692"/>
        </w:tabs>
        <w:spacing w:before="0" w:after="0" w:line="422" w:lineRule="auto"/>
        <w:ind w:left="779" w:right="251" w:firstLine="0"/>
        <w:jc w:val="both"/>
        <w:rPr>
          <w:sz w:val="24"/>
        </w:rPr>
      </w:pPr>
      <w:r>
        <w:rPr>
          <w:spacing w:val="-1"/>
          <w:sz w:val="24"/>
        </w:rPr>
        <w:t>第一阶段现场审核对象通常包括受审核方领导层、主要职能部门，并巡查作业</w:t>
      </w:r>
      <w:r>
        <w:rPr>
          <w:sz w:val="24"/>
        </w:rPr>
        <w:t xml:space="preserve">现场，主要关注以下内容： </w:t>
      </w:r>
    </w:p>
    <w:p>
      <w:pPr>
        <w:pStyle w:val="7"/>
        <w:numPr>
          <w:ilvl w:val="4"/>
          <w:numId w:val="9"/>
        </w:numPr>
        <w:tabs>
          <w:tab w:val="left" w:pos="1774"/>
        </w:tabs>
        <w:spacing w:before="0" w:after="0" w:line="422" w:lineRule="auto"/>
        <w:ind w:left="1773" w:right="251" w:hanging="284"/>
        <w:jc w:val="both"/>
        <w:rPr>
          <w:sz w:val="24"/>
        </w:rPr>
      </w:pPr>
      <w:r>
        <w:rPr>
          <w:spacing w:val="-9"/>
          <w:sz w:val="24"/>
        </w:rPr>
        <w:t>结合现场情况，确认申请组织实际情况与管理体系文件描述的一致性，特别是</w:t>
      </w:r>
      <w:r>
        <w:rPr>
          <w:spacing w:val="-6"/>
          <w:sz w:val="24"/>
        </w:rPr>
        <w:t>体系文件中描述的产品或服务、部门设置和负责人、生产或服务过程等是否与</w:t>
      </w:r>
      <w:r>
        <w:rPr>
          <w:sz w:val="24"/>
        </w:rPr>
        <w:t xml:space="preserve">申请组织的实际情况相一致； </w:t>
      </w:r>
    </w:p>
    <w:p>
      <w:pPr>
        <w:pStyle w:val="7"/>
        <w:numPr>
          <w:ilvl w:val="4"/>
          <w:numId w:val="9"/>
        </w:numPr>
        <w:tabs>
          <w:tab w:val="left" w:pos="1774"/>
        </w:tabs>
        <w:spacing w:before="0" w:after="0" w:line="422" w:lineRule="auto"/>
        <w:ind w:left="1773" w:right="251" w:hanging="284"/>
        <w:jc w:val="both"/>
        <w:rPr>
          <w:sz w:val="24"/>
        </w:rPr>
      </w:pPr>
      <w:r>
        <w:rPr>
          <w:spacing w:val="-9"/>
          <w:sz w:val="24"/>
        </w:rPr>
        <w:t>结合现场情况，审核申请组织有关人员理解和实施标准要求的情况，评价管理</w:t>
      </w:r>
      <w:r>
        <w:rPr>
          <w:spacing w:val="-5"/>
          <w:sz w:val="24"/>
        </w:rPr>
        <w:t>体系运行过程中是否实施了内部审核与管理评审，确认管理体系是否已有效运</w:t>
      </w:r>
      <w:r>
        <w:rPr>
          <w:sz w:val="24"/>
        </w:rPr>
        <w:t xml:space="preserve">行并且超过 3 个月； </w:t>
      </w:r>
    </w:p>
    <w:p>
      <w:pPr>
        <w:pStyle w:val="7"/>
        <w:numPr>
          <w:ilvl w:val="4"/>
          <w:numId w:val="9"/>
        </w:numPr>
        <w:tabs>
          <w:tab w:val="left" w:pos="1774"/>
        </w:tabs>
        <w:spacing w:before="0" w:after="0" w:line="422" w:lineRule="auto"/>
        <w:ind w:left="1773" w:right="169" w:hanging="284"/>
        <w:jc w:val="both"/>
        <w:rPr>
          <w:sz w:val="24"/>
        </w:rPr>
      </w:pPr>
      <w:r>
        <w:rPr>
          <w:spacing w:val="-1"/>
          <w:sz w:val="24"/>
        </w:rPr>
        <w:t>确认申请组织建立的管理体系覆盖的活动内容和范围、申请组织的员工人数、</w:t>
      </w:r>
      <w:r>
        <w:rPr>
          <w:sz w:val="24"/>
        </w:rPr>
        <w:t xml:space="preserve">活动过程和场所，遵守相关法律法规及技术标准的情况； </w:t>
      </w:r>
    </w:p>
    <w:p>
      <w:pPr>
        <w:pStyle w:val="7"/>
        <w:numPr>
          <w:ilvl w:val="4"/>
          <w:numId w:val="9"/>
        </w:numPr>
        <w:tabs>
          <w:tab w:val="left" w:pos="1774"/>
        </w:tabs>
        <w:spacing w:before="0" w:after="0" w:line="422" w:lineRule="auto"/>
        <w:ind w:left="1773" w:right="253" w:hanging="284"/>
        <w:jc w:val="both"/>
        <w:rPr>
          <w:sz w:val="24"/>
        </w:rPr>
      </w:pPr>
      <w:r>
        <w:rPr>
          <w:spacing w:val="-1"/>
          <w:sz w:val="24"/>
        </w:rPr>
        <w:t>结合管理体系覆盖活动的特点识别对目标的实现具有重要影响的关键点， 并</w:t>
      </w:r>
      <w:r>
        <w:rPr>
          <w:sz w:val="24"/>
        </w:rPr>
        <w:t xml:space="preserve">结合其他因素，确定二阶段审核关注的重点； </w:t>
      </w:r>
    </w:p>
    <w:p>
      <w:pPr>
        <w:pStyle w:val="7"/>
        <w:numPr>
          <w:ilvl w:val="4"/>
          <w:numId w:val="9"/>
        </w:numPr>
        <w:tabs>
          <w:tab w:val="left" w:pos="1774"/>
        </w:tabs>
        <w:spacing w:before="0" w:after="0" w:line="305" w:lineRule="exact"/>
        <w:ind w:left="1773" w:right="0" w:hanging="284"/>
        <w:jc w:val="both"/>
        <w:rPr>
          <w:sz w:val="24"/>
        </w:rPr>
      </w:pPr>
      <w:r>
        <w:rPr>
          <w:sz w:val="24"/>
        </w:rPr>
        <w:t xml:space="preserve">与申请组织讨论确定第二阶段审核安排。 </w:t>
      </w:r>
    </w:p>
    <w:p>
      <w:pPr>
        <w:pStyle w:val="3"/>
        <w:spacing w:before="222" w:line="422" w:lineRule="auto"/>
        <w:ind w:left="779" w:right="192"/>
      </w:pPr>
      <w:r>
        <w:t xml:space="preserve">在第一阶段审核中，如发现组织存在违反审核依据的情况，审核组将以《第一阶段审核问题清单》的方式指出，不开具《现场审核不符合报告》。 </w:t>
      </w:r>
    </w:p>
    <w:p>
      <w:pPr>
        <w:pStyle w:val="3"/>
        <w:spacing w:line="422" w:lineRule="auto"/>
        <w:ind w:left="779" w:right="251"/>
        <w:jc w:val="both"/>
      </w:pPr>
      <w:r>
        <w:t>在《第一阶段审核问题清单》中问题没有得到有效处理前，不会进行第二阶段审核。</w:t>
      </w:r>
      <w:r>
        <w:rPr>
          <w:spacing w:val="-6"/>
        </w:rPr>
        <w:t>现场审核结束前，审核组将与受审核方进行沟通，通报第一阶段审核结论，出具《第一</w:t>
      </w:r>
      <w:r>
        <w:rPr>
          <w:spacing w:val="-16"/>
        </w:rPr>
        <w:t xml:space="preserve">阶段审核报告》。 </w:t>
      </w:r>
    </w:p>
    <w:p>
      <w:pPr>
        <w:pStyle w:val="7"/>
        <w:numPr>
          <w:ilvl w:val="2"/>
          <w:numId w:val="6"/>
        </w:numPr>
        <w:tabs>
          <w:tab w:val="left" w:pos="1440"/>
        </w:tabs>
        <w:spacing w:before="0" w:after="0" w:line="304" w:lineRule="exact"/>
        <w:ind w:left="1439" w:right="0" w:hanging="661"/>
        <w:jc w:val="both"/>
        <w:rPr>
          <w:sz w:val="24"/>
        </w:rPr>
      </w:pPr>
      <w:r>
        <w:rPr>
          <w:sz w:val="24"/>
        </w:rPr>
        <w:t xml:space="preserve">第二阶段现场审核 </w:t>
      </w:r>
    </w:p>
    <w:p>
      <w:pPr>
        <w:pStyle w:val="3"/>
        <w:spacing w:before="12"/>
        <w:rPr>
          <w:sz w:val="17"/>
        </w:rPr>
      </w:pPr>
    </w:p>
    <w:p>
      <w:pPr>
        <w:pStyle w:val="7"/>
        <w:numPr>
          <w:ilvl w:val="3"/>
          <w:numId w:val="10"/>
        </w:numPr>
        <w:tabs>
          <w:tab w:val="left" w:pos="1692"/>
        </w:tabs>
        <w:spacing w:before="0" w:after="0" w:line="422" w:lineRule="auto"/>
        <w:ind w:left="779" w:right="251" w:firstLine="0"/>
        <w:jc w:val="both"/>
      </w:pPr>
      <w:r>
        <w:rPr>
          <w:spacing w:val="-1"/>
          <w:sz w:val="24"/>
        </w:rPr>
        <w:t>确认《第一阶段审核问题清单》中的问题得到纠正或需进入现场验证而不影响</w:t>
      </w:r>
      <w:r>
        <w:rPr>
          <w:spacing w:val="-6"/>
          <w:sz w:val="24"/>
        </w:rPr>
        <w:t>二阶段审核时，方可进行第二阶段审核；现场审核时，认证范围覆盖的产品生产或服务</w:t>
      </w:r>
      <w:r>
        <w:t xml:space="preserve">活动应在正常运行；第一、二阶段审核的时间间隔不宜超过 3 个月，超过该期限，公司将调整审核方案。 </w:t>
      </w:r>
    </w:p>
    <w:p>
      <w:pPr>
        <w:pStyle w:val="7"/>
        <w:numPr>
          <w:ilvl w:val="3"/>
          <w:numId w:val="10"/>
        </w:numPr>
        <w:tabs>
          <w:tab w:val="left" w:pos="1692"/>
        </w:tabs>
        <w:spacing w:before="0" w:after="0" w:line="422" w:lineRule="auto"/>
        <w:ind w:left="779" w:right="251" w:firstLine="0"/>
        <w:jc w:val="left"/>
        <w:rPr>
          <w:sz w:val="24"/>
        </w:rPr>
      </w:pPr>
      <w:r>
        <w:rPr>
          <w:spacing w:val="-1"/>
          <w:sz w:val="24"/>
        </w:rPr>
        <w:t>审核涉及受审核方申请范围内所有的产品、过程和职能部门，并覆盖标准所有</w:t>
      </w:r>
      <w:r>
        <w:rPr>
          <w:sz w:val="24"/>
        </w:rPr>
        <w:t xml:space="preserve">条款。对于多场所，根据抽样原则确定审核场所。第二阶段审核至少覆盖以下内容： </w:t>
      </w:r>
    </w:p>
    <w:p>
      <w:pPr>
        <w:pStyle w:val="7"/>
        <w:numPr>
          <w:ilvl w:val="4"/>
          <w:numId w:val="10"/>
        </w:numPr>
        <w:tabs>
          <w:tab w:val="left" w:pos="1774"/>
        </w:tabs>
        <w:spacing w:before="0" w:after="0" w:line="422" w:lineRule="auto"/>
        <w:ind w:left="1773" w:right="251" w:hanging="284"/>
        <w:jc w:val="left"/>
        <w:rPr>
          <w:sz w:val="24"/>
        </w:rPr>
      </w:pPr>
      <w:r>
        <w:rPr>
          <w:spacing w:val="-5"/>
          <w:sz w:val="24"/>
        </w:rPr>
        <w:t>在第一阶段审核中识别的二阶段审核关注的重点内容的监视、测量、报告和评</w:t>
      </w:r>
      <w:r>
        <w:rPr>
          <w:sz w:val="24"/>
        </w:rPr>
        <w:t xml:space="preserve">审记录的完整性和有效性； </w:t>
      </w:r>
    </w:p>
    <w:p>
      <w:pPr>
        <w:pStyle w:val="7"/>
        <w:numPr>
          <w:ilvl w:val="4"/>
          <w:numId w:val="10"/>
        </w:numPr>
        <w:tabs>
          <w:tab w:val="left" w:pos="1774"/>
        </w:tabs>
        <w:spacing w:before="0" w:after="0" w:line="306" w:lineRule="exact"/>
        <w:ind w:left="1773" w:right="0" w:hanging="284"/>
        <w:jc w:val="left"/>
        <w:rPr>
          <w:sz w:val="24"/>
        </w:rPr>
      </w:pPr>
      <w:r>
        <w:rPr>
          <w:spacing w:val="-3"/>
          <w:sz w:val="24"/>
        </w:rPr>
        <w:t>为实现总目标而建立的各层级目标是否具体、有针对性、可测量并且可实现；</w:t>
      </w:r>
      <w:r>
        <w:rPr>
          <w:sz w:val="24"/>
        </w:rPr>
        <w:t xml:space="preserve"> </w:t>
      </w:r>
    </w:p>
    <w:p>
      <w:pPr>
        <w:pStyle w:val="7"/>
        <w:numPr>
          <w:ilvl w:val="4"/>
          <w:numId w:val="10"/>
        </w:numPr>
        <w:tabs>
          <w:tab w:val="left" w:pos="1774"/>
        </w:tabs>
        <w:spacing w:before="228" w:after="0" w:line="240" w:lineRule="auto"/>
        <w:ind w:left="1773" w:right="0" w:hanging="284"/>
        <w:jc w:val="left"/>
        <w:rPr>
          <w:sz w:val="24"/>
        </w:rPr>
      </w:pPr>
      <w:r>
        <w:rPr>
          <w:sz w:val="24"/>
        </w:rPr>
        <w:t xml:space="preserve">对管理体系覆盖的过程和活动的管理及控制情况； </w:t>
      </w:r>
    </w:p>
    <w:p>
      <w:pPr>
        <w:pStyle w:val="7"/>
        <w:numPr>
          <w:ilvl w:val="4"/>
          <w:numId w:val="10"/>
        </w:numPr>
        <w:tabs>
          <w:tab w:val="left" w:pos="1774"/>
        </w:tabs>
        <w:spacing w:before="233" w:after="0" w:line="240" w:lineRule="auto"/>
        <w:ind w:left="1773" w:right="0" w:hanging="284"/>
        <w:jc w:val="left"/>
        <w:rPr>
          <w:sz w:val="24"/>
        </w:rPr>
      </w:pPr>
      <w:r>
        <w:rPr>
          <w:sz w:val="24"/>
        </w:rPr>
        <w:t xml:space="preserve">申请组织实际工作记录是否真实； </w:t>
      </w:r>
    </w:p>
    <w:p>
      <w:pPr>
        <w:pStyle w:val="7"/>
        <w:numPr>
          <w:ilvl w:val="4"/>
          <w:numId w:val="10"/>
        </w:numPr>
        <w:tabs>
          <w:tab w:val="left" w:pos="1774"/>
        </w:tabs>
        <w:spacing w:before="232" w:after="0" w:line="240" w:lineRule="auto"/>
        <w:ind w:left="1773" w:right="0" w:hanging="284"/>
        <w:jc w:val="left"/>
        <w:rPr>
          <w:sz w:val="24"/>
        </w:rPr>
      </w:pPr>
      <w:r>
        <w:rPr>
          <w:sz w:val="24"/>
        </w:rPr>
        <w:t xml:space="preserve">申请组织的内部审核和管理评审是否有效。 </w:t>
      </w:r>
    </w:p>
    <w:p>
      <w:pPr>
        <w:pStyle w:val="7"/>
        <w:numPr>
          <w:ilvl w:val="3"/>
          <w:numId w:val="10"/>
        </w:numPr>
        <w:tabs>
          <w:tab w:val="left" w:pos="1692"/>
        </w:tabs>
        <w:spacing w:before="233" w:after="0" w:line="422" w:lineRule="auto"/>
        <w:ind w:left="779" w:right="131" w:firstLine="0"/>
        <w:jc w:val="left"/>
        <w:rPr>
          <w:sz w:val="24"/>
        </w:rPr>
      </w:pPr>
      <w:r>
        <w:rPr>
          <w:sz w:val="24"/>
        </w:rPr>
        <w:t>审核组采用抽样的方法，通过交谈、调阅文件与记录以及查看现场等方式，收</w:t>
      </w:r>
      <w:r>
        <w:rPr>
          <w:spacing w:val="-3"/>
          <w:sz w:val="24"/>
        </w:rPr>
        <w:t>集受审核方管理体系运行证据。如发现组织存在违反审核依据的情况，审核组将视问题</w:t>
      </w:r>
      <w:r>
        <w:rPr>
          <w:spacing w:val="-8"/>
          <w:sz w:val="24"/>
        </w:rPr>
        <w:t>的严重程度及其产生的影响，出具《现场审核不符合报告》，不符合严重程度分为：一</w:t>
      </w:r>
      <w:r>
        <w:rPr>
          <w:spacing w:val="-12"/>
          <w:sz w:val="24"/>
        </w:rPr>
        <w:t xml:space="preserve">般或严重。一般不符合关闭期限自审核后 </w:t>
      </w:r>
      <w:r>
        <w:rPr>
          <w:sz w:val="24"/>
        </w:rPr>
        <w:t>30</w:t>
      </w:r>
      <w:r>
        <w:rPr>
          <w:spacing w:val="-10"/>
          <w:sz w:val="24"/>
        </w:rPr>
        <w:t xml:space="preserve"> 日内，严重不合格最长关闭期限不超过 </w:t>
      </w:r>
      <w:r>
        <w:rPr>
          <w:sz w:val="24"/>
        </w:rPr>
        <w:t xml:space="preserve">90 日。 </w:t>
      </w:r>
    </w:p>
    <w:p>
      <w:pPr>
        <w:pStyle w:val="3"/>
        <w:spacing w:line="422" w:lineRule="auto"/>
        <w:ind w:left="779" w:right="203"/>
      </w:pPr>
      <w:r>
        <w:t xml:space="preserve">审核末次会议前，审核组将与受审核方负责人进行沟通。在末次会议上，确认不符合、宣布审核结论，并明确对不符合纠正措施的实施要求。 </w:t>
      </w:r>
    </w:p>
    <w:p>
      <w:pPr>
        <w:pStyle w:val="3"/>
        <w:spacing w:line="422" w:lineRule="auto"/>
        <w:ind w:left="779" w:right="251"/>
        <w:jc w:val="both"/>
      </w:pPr>
      <w:r>
        <w:rPr>
          <w:spacing w:val="-4"/>
        </w:rPr>
        <w:t>现场审核结论包括“同意推荐认证注册”、“推迟推荐认证注册”或“不予推荐认证注</w:t>
      </w:r>
      <w:r>
        <w:rPr>
          <w:spacing w:val="-7"/>
        </w:rPr>
        <w:t>册”三种。对审核中发现的不符合，受审核方应采取纠正措施，并经审核组验证。验证</w:t>
      </w:r>
      <w:r>
        <w:rPr>
          <w:spacing w:val="-5"/>
        </w:rPr>
        <w:t>的方式有书面验证和现场验证两种。验证合格后，审核组方能将《审核报告》及相关资</w:t>
      </w:r>
      <w:r>
        <w:rPr>
          <w:spacing w:val="-7"/>
        </w:rPr>
        <w:t>料报公司，提交技术委员会审议。对于因受审核方原因，未能在规定期限内完成纠正措</w:t>
      </w:r>
      <w:r>
        <w:t xml:space="preserve">施的，审核组长可以修改审核结论。 </w:t>
      </w:r>
    </w:p>
    <w:p>
      <w:pPr>
        <w:pStyle w:val="7"/>
        <w:numPr>
          <w:ilvl w:val="2"/>
          <w:numId w:val="6"/>
        </w:numPr>
        <w:tabs>
          <w:tab w:val="left" w:pos="1440"/>
        </w:tabs>
        <w:spacing w:before="0" w:after="0" w:line="302" w:lineRule="exact"/>
        <w:ind w:left="1439" w:right="0" w:hanging="661"/>
        <w:jc w:val="both"/>
        <w:rPr>
          <w:sz w:val="24"/>
        </w:rPr>
      </w:pPr>
      <w:r>
        <w:rPr>
          <w:sz w:val="24"/>
        </w:rPr>
        <w:t xml:space="preserve">认证决定与发证注册 </w:t>
      </w:r>
    </w:p>
    <w:p>
      <w:pPr>
        <w:pStyle w:val="3"/>
        <w:spacing w:before="6"/>
        <w:rPr>
          <w:sz w:val="17"/>
        </w:rPr>
      </w:pPr>
    </w:p>
    <w:p>
      <w:pPr>
        <w:pStyle w:val="7"/>
        <w:numPr>
          <w:ilvl w:val="3"/>
          <w:numId w:val="11"/>
        </w:numPr>
        <w:tabs>
          <w:tab w:val="left" w:pos="1692"/>
        </w:tabs>
        <w:spacing w:before="0" w:after="0" w:line="422" w:lineRule="auto"/>
        <w:ind w:left="779" w:right="251" w:firstLine="0"/>
        <w:jc w:val="both"/>
        <w:rPr>
          <w:sz w:val="24"/>
        </w:rPr>
      </w:pPr>
      <w:r>
        <w:rPr>
          <w:spacing w:val="-1"/>
          <w:sz w:val="24"/>
        </w:rPr>
        <w:t xml:space="preserve">公司对《审核报告》和相关资料进行评定后，做出是否准予认证注册的决定， </w:t>
      </w:r>
      <w:r>
        <w:rPr>
          <w:sz w:val="24"/>
        </w:rPr>
        <w:t xml:space="preserve">并书面通知受审核方。 </w:t>
      </w:r>
    </w:p>
    <w:p>
      <w:pPr>
        <w:pStyle w:val="7"/>
        <w:numPr>
          <w:ilvl w:val="3"/>
          <w:numId w:val="11"/>
        </w:numPr>
        <w:tabs>
          <w:tab w:val="left" w:pos="1692"/>
        </w:tabs>
        <w:spacing w:before="0" w:after="0" w:line="422" w:lineRule="auto"/>
        <w:ind w:left="779" w:right="251" w:firstLine="0"/>
        <w:jc w:val="both"/>
        <w:rPr>
          <w:sz w:val="24"/>
        </w:rPr>
      </w:pPr>
      <w:r>
        <w:rPr>
          <w:sz w:val="24"/>
        </w:rPr>
        <w:t xml:space="preserve">通过注册的组织，由公司颁发认证证书，并在电子媒体上予以公告。 </w:t>
      </w:r>
    </w:p>
    <w:p>
      <w:pPr>
        <w:pStyle w:val="3"/>
        <w:spacing w:before="2"/>
        <w:rPr>
          <w:sz w:val="18"/>
        </w:rPr>
      </w:pPr>
    </w:p>
    <w:p>
      <w:pPr>
        <w:pStyle w:val="7"/>
        <w:numPr>
          <w:ilvl w:val="3"/>
          <w:numId w:val="11"/>
        </w:numPr>
        <w:tabs>
          <w:tab w:val="left" w:pos="1680"/>
        </w:tabs>
        <w:spacing w:before="0" w:after="0" w:line="422" w:lineRule="auto"/>
        <w:ind w:left="779" w:right="251" w:firstLine="0"/>
        <w:jc w:val="both"/>
        <w:rPr>
          <w:sz w:val="24"/>
        </w:rPr>
      </w:pPr>
      <w:r>
        <w:rPr>
          <w:spacing w:val="-7"/>
          <w:sz w:val="24"/>
        </w:rPr>
        <w:t>未被批准的受审核方，将在《初审</w:t>
      </w:r>
      <w:r>
        <w:rPr>
          <w:sz w:val="24"/>
        </w:rPr>
        <w:t>/</w:t>
      </w:r>
      <w:r>
        <w:rPr>
          <w:spacing w:val="-4"/>
          <w:sz w:val="24"/>
        </w:rPr>
        <w:t>再认证审核不予通过认证注册的通知》中说</w:t>
      </w:r>
      <w:r>
        <w:rPr>
          <w:sz w:val="24"/>
        </w:rPr>
        <w:t xml:space="preserve">明原因。 </w:t>
      </w:r>
    </w:p>
    <w:p>
      <w:pPr>
        <w:pStyle w:val="7"/>
        <w:numPr>
          <w:ilvl w:val="1"/>
          <w:numId w:val="6"/>
        </w:numPr>
        <w:tabs>
          <w:tab w:val="left" w:pos="1200"/>
        </w:tabs>
        <w:spacing w:before="0" w:after="0" w:line="305" w:lineRule="exact"/>
        <w:ind w:left="1199" w:right="0" w:hanging="421"/>
        <w:jc w:val="both"/>
        <w:rPr>
          <w:sz w:val="24"/>
        </w:rPr>
      </w:pPr>
      <w:r>
        <w:rPr>
          <w:sz w:val="24"/>
        </w:rPr>
        <w:t xml:space="preserve">监督审核 </w:t>
      </w:r>
    </w:p>
    <w:p>
      <w:pPr>
        <w:pStyle w:val="3"/>
        <w:spacing w:before="2"/>
        <w:rPr>
          <w:sz w:val="18"/>
        </w:rPr>
      </w:pPr>
    </w:p>
    <w:p>
      <w:pPr>
        <w:pStyle w:val="7"/>
        <w:numPr>
          <w:ilvl w:val="2"/>
          <w:numId w:val="6"/>
        </w:numPr>
        <w:tabs>
          <w:tab w:val="left" w:pos="1452"/>
        </w:tabs>
        <w:spacing w:before="0" w:after="0" w:line="422" w:lineRule="auto"/>
        <w:ind w:left="779" w:right="251" w:firstLine="0"/>
        <w:jc w:val="both"/>
        <w:rPr>
          <w:sz w:val="24"/>
        </w:rPr>
      </w:pPr>
      <w:r>
        <w:rPr>
          <w:spacing w:val="-1"/>
          <w:sz w:val="24"/>
        </w:rPr>
        <w:t>监督的目的是验证获证组织管理体系是否持续满足认证标准要求。监督审核分为</w:t>
      </w:r>
      <w:r>
        <w:rPr>
          <w:sz w:val="24"/>
        </w:rPr>
        <w:t xml:space="preserve">定期监督审核和非定期监督审核。 </w:t>
      </w:r>
    </w:p>
    <w:p>
      <w:pPr>
        <w:pStyle w:val="7"/>
        <w:numPr>
          <w:ilvl w:val="2"/>
          <w:numId w:val="6"/>
        </w:numPr>
        <w:tabs>
          <w:tab w:val="left" w:pos="1452"/>
        </w:tabs>
        <w:spacing w:before="0" w:after="0" w:line="422" w:lineRule="auto"/>
        <w:ind w:left="779" w:right="251" w:firstLine="0"/>
        <w:jc w:val="both"/>
        <w:rPr>
          <w:sz w:val="24"/>
        </w:rPr>
      </w:pPr>
      <w:r>
        <w:rPr>
          <w:spacing w:val="-1"/>
          <w:sz w:val="24"/>
        </w:rPr>
        <w:t>初审获证组织的认证证书有效期为三年，有效期内，公司定期对获证组织进行监</w:t>
      </w:r>
      <w:r>
        <w:rPr>
          <w:spacing w:val="-6"/>
          <w:sz w:val="24"/>
        </w:rPr>
        <w:t xml:space="preserve">督审核。其中，初审后的第一次监督审核在证书颁发日第二天起 </w:t>
      </w:r>
      <w:r>
        <w:rPr>
          <w:sz w:val="24"/>
        </w:rPr>
        <w:t>12</w:t>
      </w:r>
      <w:r>
        <w:rPr>
          <w:spacing w:val="-5"/>
          <w:sz w:val="24"/>
        </w:rPr>
        <w:t xml:space="preserve"> 个月内进行。以后</w:t>
      </w:r>
      <w:r>
        <w:rPr>
          <w:sz w:val="24"/>
        </w:rPr>
        <w:t>每次定期监督审核距离上一次监督审核结束时间不得超过 12</w:t>
      </w:r>
      <w:r>
        <w:rPr>
          <w:spacing w:val="-8"/>
          <w:sz w:val="24"/>
        </w:rPr>
        <w:t xml:space="preserve"> 个月，其中，最后一次监</w:t>
      </w:r>
      <w:r>
        <w:rPr>
          <w:sz w:val="24"/>
        </w:rPr>
        <w:t xml:space="preserve">督审核可申请再认证，基本程序参照初次现场审核进行。 </w:t>
      </w:r>
    </w:p>
    <w:p>
      <w:pPr>
        <w:pStyle w:val="7"/>
        <w:numPr>
          <w:ilvl w:val="2"/>
          <w:numId w:val="6"/>
        </w:numPr>
        <w:tabs>
          <w:tab w:val="left" w:pos="1452"/>
        </w:tabs>
        <w:spacing w:before="0" w:after="0" w:line="422" w:lineRule="auto"/>
        <w:ind w:left="779" w:right="129" w:firstLine="0"/>
        <w:jc w:val="left"/>
        <w:rPr>
          <w:sz w:val="24"/>
        </w:rPr>
      </w:pPr>
      <w:r>
        <w:rPr>
          <w:sz w:val="24"/>
        </w:rPr>
        <w:t>监督审核时，认证范围覆盖的产品生产或服务活动应在正常运行，因产品季节性</w:t>
      </w:r>
      <w:r>
        <w:rPr>
          <w:spacing w:val="-3"/>
          <w:sz w:val="24"/>
        </w:rPr>
        <w:t>等原因在每次监督审核时难以覆盖所有产品的，在认证证书有效期内的监督审核需覆盖</w:t>
      </w:r>
      <w:r>
        <w:rPr>
          <w:spacing w:val="-14"/>
          <w:sz w:val="24"/>
        </w:rPr>
        <w:t>认证范围内的所有产品，否则将缩小相应认证范围。根据监督审核结果，公司做出保持、</w:t>
      </w:r>
      <w:r>
        <w:rPr>
          <w:spacing w:val="-8"/>
          <w:sz w:val="24"/>
        </w:rPr>
        <w:t xml:space="preserve">扩大、缩小、暂停、撤销认证证书的决定。必要时，还需接受非例行监督审核或国家认监委/国家认可委实施的稽查和确认审核以及认证监管部门的稽查。 </w:t>
      </w:r>
    </w:p>
    <w:p>
      <w:pPr>
        <w:pStyle w:val="7"/>
        <w:numPr>
          <w:ilvl w:val="2"/>
          <w:numId w:val="6"/>
        </w:numPr>
        <w:tabs>
          <w:tab w:val="left" w:pos="1440"/>
        </w:tabs>
        <w:spacing w:before="0" w:after="0" w:line="302" w:lineRule="exact"/>
        <w:ind w:left="1439" w:right="0" w:hanging="661"/>
        <w:jc w:val="left"/>
        <w:rPr>
          <w:sz w:val="24"/>
        </w:rPr>
      </w:pPr>
      <w:r>
        <w:rPr>
          <w:sz w:val="24"/>
        </w:rPr>
        <w:t xml:space="preserve">通常每次监督审核的内容主要包括： </w:t>
      </w:r>
    </w:p>
    <w:p>
      <w:pPr>
        <w:pStyle w:val="3"/>
        <w:spacing w:before="8"/>
        <w:rPr>
          <w:sz w:val="17"/>
        </w:rPr>
      </w:pPr>
    </w:p>
    <w:p>
      <w:pPr>
        <w:pStyle w:val="7"/>
        <w:numPr>
          <w:ilvl w:val="3"/>
          <w:numId w:val="6"/>
        </w:numPr>
        <w:tabs>
          <w:tab w:val="left" w:pos="1774"/>
        </w:tabs>
        <w:spacing w:before="0" w:after="0" w:line="240" w:lineRule="auto"/>
        <w:ind w:left="1773" w:right="0" w:hanging="284"/>
        <w:jc w:val="left"/>
        <w:rPr>
          <w:sz w:val="24"/>
        </w:rPr>
      </w:pPr>
      <w:r>
        <w:rPr>
          <w:sz w:val="24"/>
        </w:rPr>
        <w:t xml:space="preserve">上次审核以来管理体系覆盖的活动及运行体系的资源是否有变更； </w:t>
      </w:r>
    </w:p>
    <w:p>
      <w:pPr>
        <w:pStyle w:val="7"/>
        <w:numPr>
          <w:ilvl w:val="3"/>
          <w:numId w:val="6"/>
        </w:numPr>
        <w:tabs>
          <w:tab w:val="left" w:pos="1774"/>
        </w:tabs>
        <w:spacing w:before="233" w:after="0" w:line="240" w:lineRule="auto"/>
        <w:ind w:left="1773" w:right="0" w:hanging="284"/>
        <w:jc w:val="left"/>
        <w:rPr>
          <w:sz w:val="24"/>
        </w:rPr>
      </w:pPr>
      <w:r>
        <w:rPr>
          <w:sz w:val="24"/>
        </w:rPr>
        <w:t xml:space="preserve">体系运行的重要关键点是否按管理体系的要求在正常和有效运行； </w:t>
      </w:r>
    </w:p>
    <w:p>
      <w:pPr>
        <w:pStyle w:val="7"/>
        <w:numPr>
          <w:ilvl w:val="3"/>
          <w:numId w:val="6"/>
        </w:numPr>
        <w:tabs>
          <w:tab w:val="left" w:pos="1774"/>
        </w:tabs>
        <w:spacing w:before="232" w:after="0" w:line="240" w:lineRule="auto"/>
        <w:ind w:left="1773" w:right="0" w:hanging="284"/>
        <w:jc w:val="left"/>
        <w:rPr>
          <w:sz w:val="24"/>
        </w:rPr>
      </w:pPr>
      <w:r>
        <w:rPr>
          <w:sz w:val="24"/>
        </w:rPr>
        <w:t xml:space="preserve">对上次审核中确定的不符合项采取的纠正和纠正措施是否继续有效； </w:t>
      </w:r>
    </w:p>
    <w:p>
      <w:pPr>
        <w:pStyle w:val="7"/>
        <w:numPr>
          <w:ilvl w:val="3"/>
          <w:numId w:val="6"/>
        </w:numPr>
        <w:tabs>
          <w:tab w:val="left" w:pos="1774"/>
        </w:tabs>
        <w:spacing w:before="233" w:after="0" w:line="240" w:lineRule="auto"/>
        <w:ind w:left="1773" w:right="0" w:hanging="284"/>
        <w:jc w:val="left"/>
        <w:rPr>
          <w:sz w:val="24"/>
        </w:rPr>
      </w:pPr>
      <w:r>
        <w:rPr>
          <w:sz w:val="24"/>
        </w:rPr>
        <w:t xml:space="preserve">管理体系覆盖的活动涉及法律法规规定的，是否持续符合相关规定； </w:t>
      </w:r>
    </w:p>
    <w:p>
      <w:pPr>
        <w:pStyle w:val="7"/>
        <w:numPr>
          <w:ilvl w:val="3"/>
          <w:numId w:val="6"/>
        </w:numPr>
        <w:tabs>
          <w:tab w:val="left" w:pos="1774"/>
        </w:tabs>
        <w:spacing w:before="233" w:after="0" w:line="422" w:lineRule="auto"/>
        <w:ind w:left="1773" w:right="251" w:hanging="284"/>
        <w:jc w:val="left"/>
        <w:rPr>
          <w:sz w:val="24"/>
        </w:rPr>
      </w:pPr>
      <w:r>
        <w:rPr>
          <w:spacing w:val="-6"/>
          <w:sz w:val="24"/>
        </w:rPr>
        <w:t>总目标及各层级目标是否实现。目标没有实现的，获证组织在内部管理评审时</w:t>
      </w:r>
      <w:r>
        <w:rPr>
          <w:sz w:val="24"/>
        </w:rPr>
        <w:t xml:space="preserve">是否及时调查并采取了改进措施； </w:t>
      </w:r>
    </w:p>
    <w:p>
      <w:pPr>
        <w:pStyle w:val="7"/>
        <w:numPr>
          <w:ilvl w:val="3"/>
          <w:numId w:val="6"/>
        </w:numPr>
        <w:tabs>
          <w:tab w:val="left" w:pos="1774"/>
        </w:tabs>
        <w:spacing w:before="0" w:after="0" w:line="305" w:lineRule="exact"/>
        <w:ind w:left="1773" w:right="0" w:hanging="284"/>
        <w:jc w:val="left"/>
        <w:rPr>
          <w:sz w:val="24"/>
        </w:rPr>
      </w:pPr>
      <w:r>
        <w:rPr>
          <w:sz w:val="24"/>
        </w:rPr>
        <w:t xml:space="preserve">获证组织对认证标志的使用或对认证资格的引用是否符合相关的规定； </w:t>
      </w:r>
    </w:p>
    <w:p>
      <w:pPr>
        <w:pStyle w:val="7"/>
        <w:numPr>
          <w:ilvl w:val="3"/>
          <w:numId w:val="6"/>
        </w:numPr>
        <w:tabs>
          <w:tab w:val="left" w:pos="1774"/>
        </w:tabs>
        <w:spacing w:before="232" w:after="0" w:line="240" w:lineRule="auto"/>
        <w:ind w:left="1773" w:right="0" w:hanging="284"/>
        <w:jc w:val="left"/>
        <w:rPr>
          <w:sz w:val="24"/>
        </w:rPr>
      </w:pPr>
      <w:r>
        <w:rPr>
          <w:sz w:val="24"/>
        </w:rPr>
        <w:t xml:space="preserve">内部审核和管理评审是否规范和有效； </w:t>
      </w:r>
    </w:p>
    <w:p>
      <w:pPr>
        <w:pStyle w:val="7"/>
        <w:numPr>
          <w:ilvl w:val="3"/>
          <w:numId w:val="6"/>
        </w:numPr>
        <w:tabs>
          <w:tab w:val="left" w:pos="1774"/>
        </w:tabs>
        <w:spacing w:before="233" w:after="0" w:line="240" w:lineRule="auto"/>
        <w:ind w:left="1773" w:right="0" w:hanging="284"/>
        <w:jc w:val="left"/>
        <w:rPr>
          <w:sz w:val="24"/>
        </w:rPr>
      </w:pPr>
      <w:r>
        <w:rPr>
          <w:sz w:val="24"/>
        </w:rPr>
        <w:t xml:space="preserve">是否及时接受和处理投诉； </w:t>
      </w:r>
    </w:p>
    <w:p>
      <w:pPr>
        <w:pStyle w:val="7"/>
        <w:numPr>
          <w:ilvl w:val="3"/>
          <w:numId w:val="6"/>
        </w:numPr>
        <w:tabs>
          <w:tab w:val="left" w:pos="1774"/>
        </w:tabs>
        <w:spacing w:before="149" w:after="0" w:line="240" w:lineRule="auto"/>
        <w:ind w:left="1773" w:right="0" w:hanging="284"/>
        <w:jc w:val="both"/>
        <w:rPr>
          <w:sz w:val="24"/>
        </w:rPr>
      </w:pPr>
      <w:r>
        <w:rPr>
          <w:spacing w:val="-3"/>
          <w:sz w:val="24"/>
        </w:rPr>
        <w:t>针对内审发现的问题或投诉的问题，是否及时制定并实施了有效的持续改进。</w:t>
      </w:r>
      <w:r>
        <w:rPr>
          <w:sz w:val="24"/>
        </w:rPr>
        <w:t xml:space="preserve"> </w:t>
      </w:r>
    </w:p>
    <w:p>
      <w:pPr>
        <w:pStyle w:val="7"/>
        <w:numPr>
          <w:ilvl w:val="2"/>
          <w:numId w:val="6"/>
        </w:numPr>
        <w:tabs>
          <w:tab w:val="left" w:pos="1452"/>
        </w:tabs>
        <w:spacing w:before="233" w:after="0" w:line="422" w:lineRule="auto"/>
        <w:ind w:left="779" w:right="251" w:firstLine="0"/>
        <w:jc w:val="both"/>
        <w:rPr>
          <w:sz w:val="24"/>
        </w:rPr>
      </w:pPr>
      <w:r>
        <w:rPr>
          <w:spacing w:val="-1"/>
          <w:sz w:val="24"/>
        </w:rPr>
        <w:t>在证书有效期内，获证组织的法定代表人、组织机构、管理体系文件及所覆盖的</w:t>
      </w:r>
      <w:r>
        <w:rPr>
          <w:spacing w:val="-16"/>
          <w:sz w:val="24"/>
        </w:rPr>
        <w:t>产品或服务发生变化，或者发生环境、职业健康安全事故等，应及时通报公司。参见《信</w:t>
      </w:r>
      <w:r>
        <w:rPr>
          <w:spacing w:val="-13"/>
          <w:sz w:val="24"/>
        </w:rPr>
        <w:t xml:space="preserve">息通报与处理程序》。 </w:t>
      </w:r>
    </w:p>
    <w:p>
      <w:pPr>
        <w:pStyle w:val="7"/>
        <w:numPr>
          <w:ilvl w:val="2"/>
          <w:numId w:val="6"/>
        </w:numPr>
        <w:tabs>
          <w:tab w:val="left" w:pos="1452"/>
        </w:tabs>
        <w:spacing w:before="0" w:after="0" w:line="422" w:lineRule="auto"/>
        <w:ind w:left="779" w:right="251" w:firstLine="0"/>
        <w:jc w:val="both"/>
        <w:rPr>
          <w:sz w:val="24"/>
        </w:rPr>
      </w:pPr>
      <w:r>
        <w:rPr>
          <w:spacing w:val="-1"/>
          <w:sz w:val="24"/>
        </w:rPr>
        <w:t>在认证证书有效期内，获证组织若发生了环境、职业健康安全事故或用户严重投</w:t>
      </w:r>
      <w:r>
        <w:rPr>
          <w:spacing w:val="-7"/>
          <w:sz w:val="24"/>
        </w:rPr>
        <w:t>诉，或因上述原因被主管部门查处、媒体曝光时，公司将视情况做出暂停或撤销认证证</w:t>
      </w:r>
      <w:r>
        <w:rPr>
          <w:sz w:val="24"/>
        </w:rPr>
        <w:t xml:space="preserve">书的决定。 </w:t>
      </w:r>
    </w:p>
    <w:p>
      <w:pPr>
        <w:pStyle w:val="7"/>
        <w:numPr>
          <w:ilvl w:val="2"/>
          <w:numId w:val="6"/>
        </w:numPr>
        <w:tabs>
          <w:tab w:val="left" w:pos="1440"/>
        </w:tabs>
        <w:spacing w:before="0" w:after="0" w:line="305" w:lineRule="exact"/>
        <w:ind w:left="1439" w:right="0" w:hanging="661"/>
        <w:jc w:val="both"/>
        <w:rPr>
          <w:sz w:val="24"/>
        </w:rPr>
      </w:pPr>
      <w:r>
        <w:rPr>
          <w:sz w:val="24"/>
        </w:rPr>
        <w:t xml:space="preserve">下列情况时，公司将对获证组织进行提前较短时间通知的非定期监督审核： </w:t>
      </w:r>
    </w:p>
    <w:p>
      <w:pPr>
        <w:pStyle w:val="3"/>
        <w:spacing w:before="11"/>
        <w:rPr>
          <w:sz w:val="17"/>
        </w:rPr>
      </w:pPr>
    </w:p>
    <w:p>
      <w:pPr>
        <w:pStyle w:val="7"/>
        <w:numPr>
          <w:ilvl w:val="3"/>
          <w:numId w:val="6"/>
        </w:numPr>
        <w:tabs>
          <w:tab w:val="left" w:pos="1774"/>
        </w:tabs>
        <w:spacing w:before="0" w:after="0" w:line="240" w:lineRule="auto"/>
        <w:ind w:left="1773" w:right="0" w:hanging="284"/>
        <w:jc w:val="both"/>
        <w:rPr>
          <w:sz w:val="24"/>
        </w:rPr>
      </w:pPr>
      <w:r>
        <w:rPr>
          <w:sz w:val="24"/>
        </w:rPr>
        <w:t xml:space="preserve">国家认监委（CNCA）对公司提出相应要求时； </w:t>
      </w:r>
    </w:p>
    <w:p>
      <w:pPr>
        <w:pStyle w:val="7"/>
        <w:numPr>
          <w:ilvl w:val="3"/>
          <w:numId w:val="6"/>
        </w:numPr>
        <w:tabs>
          <w:tab w:val="left" w:pos="1774"/>
        </w:tabs>
        <w:spacing w:before="233" w:after="0" w:line="240" w:lineRule="auto"/>
        <w:ind w:left="1773" w:right="0" w:hanging="284"/>
        <w:jc w:val="both"/>
        <w:rPr>
          <w:sz w:val="24"/>
        </w:rPr>
      </w:pPr>
      <w:r>
        <w:rPr>
          <w:sz w:val="24"/>
        </w:rPr>
        <w:t xml:space="preserve">收到对获证组织的投诉； </w:t>
      </w:r>
    </w:p>
    <w:p>
      <w:pPr>
        <w:pStyle w:val="7"/>
        <w:numPr>
          <w:ilvl w:val="3"/>
          <w:numId w:val="6"/>
        </w:numPr>
        <w:tabs>
          <w:tab w:val="left" w:pos="1774"/>
        </w:tabs>
        <w:spacing w:before="232" w:after="0" w:line="240" w:lineRule="auto"/>
        <w:ind w:left="1773" w:right="0" w:hanging="284"/>
        <w:jc w:val="both"/>
        <w:rPr>
          <w:sz w:val="24"/>
        </w:rPr>
      </w:pPr>
      <w:r>
        <w:rPr>
          <w:sz w:val="24"/>
        </w:rPr>
        <w:t xml:space="preserve">获证组织的管理体系和过程发生重大变更，可能影响体系正常运行； </w:t>
      </w:r>
    </w:p>
    <w:p>
      <w:pPr>
        <w:pStyle w:val="7"/>
        <w:numPr>
          <w:ilvl w:val="3"/>
          <w:numId w:val="6"/>
        </w:numPr>
        <w:tabs>
          <w:tab w:val="left" w:pos="1774"/>
        </w:tabs>
        <w:spacing w:before="233" w:after="0" w:line="240" w:lineRule="auto"/>
        <w:ind w:left="1773" w:right="0" w:hanging="284"/>
        <w:jc w:val="both"/>
        <w:rPr>
          <w:sz w:val="24"/>
        </w:rPr>
      </w:pPr>
      <w:r>
        <w:rPr>
          <w:sz w:val="24"/>
        </w:rPr>
        <w:t xml:space="preserve">对因管理体系运行存在不符合被暂停的组织进行追踪； </w:t>
      </w:r>
    </w:p>
    <w:p>
      <w:pPr>
        <w:pStyle w:val="7"/>
        <w:numPr>
          <w:ilvl w:val="3"/>
          <w:numId w:val="6"/>
        </w:numPr>
        <w:tabs>
          <w:tab w:val="left" w:pos="1774"/>
        </w:tabs>
        <w:spacing w:before="232" w:after="0" w:line="240" w:lineRule="auto"/>
        <w:ind w:left="1773" w:right="0" w:hanging="284"/>
        <w:jc w:val="left"/>
        <w:rPr>
          <w:sz w:val="24"/>
        </w:rPr>
      </w:pPr>
      <w:r>
        <w:rPr>
          <w:sz w:val="24"/>
        </w:rPr>
        <w:t xml:space="preserve">根据收集到的获证组织信息，公司认为有必要时。 </w:t>
      </w:r>
    </w:p>
    <w:p>
      <w:pPr>
        <w:pStyle w:val="3"/>
        <w:spacing w:before="233" w:line="422" w:lineRule="auto"/>
        <w:ind w:left="779" w:right="205"/>
      </w:pPr>
      <w:r>
        <w:t xml:space="preserve">非定期监督审核，不需要获证组织支付审核费用。公司将视情况做出保持、暂停、撤销认证证书或缩小认证范围的决定。 </w:t>
      </w:r>
    </w:p>
    <w:p>
      <w:pPr>
        <w:pStyle w:val="7"/>
        <w:numPr>
          <w:ilvl w:val="1"/>
          <w:numId w:val="6"/>
        </w:numPr>
        <w:tabs>
          <w:tab w:val="left" w:pos="1200"/>
        </w:tabs>
        <w:spacing w:before="0" w:after="0" w:line="305" w:lineRule="exact"/>
        <w:ind w:left="1199" w:right="0" w:hanging="421"/>
        <w:jc w:val="both"/>
        <w:rPr>
          <w:sz w:val="24"/>
        </w:rPr>
      </w:pPr>
      <w:r>
        <w:rPr>
          <w:sz w:val="24"/>
        </w:rPr>
        <w:t xml:space="preserve">再认证审核 </w:t>
      </w:r>
    </w:p>
    <w:p>
      <w:pPr>
        <w:pStyle w:val="3"/>
        <w:spacing w:before="2"/>
        <w:rPr>
          <w:sz w:val="18"/>
        </w:rPr>
      </w:pPr>
    </w:p>
    <w:p>
      <w:pPr>
        <w:pStyle w:val="7"/>
        <w:numPr>
          <w:ilvl w:val="2"/>
          <w:numId w:val="6"/>
        </w:numPr>
        <w:tabs>
          <w:tab w:val="left" w:pos="1452"/>
        </w:tabs>
        <w:spacing w:before="0" w:after="0" w:line="422" w:lineRule="auto"/>
        <w:ind w:left="779" w:right="251" w:firstLine="0"/>
        <w:jc w:val="both"/>
        <w:rPr>
          <w:sz w:val="24"/>
        </w:rPr>
      </w:pPr>
      <w:r>
        <w:rPr>
          <w:spacing w:val="-1"/>
          <w:sz w:val="24"/>
        </w:rPr>
        <w:t>再认证审核的目的是确认管理体系作为一个整体的持续符合性与有效性，以及认</w:t>
      </w:r>
      <w:r>
        <w:rPr>
          <w:sz w:val="24"/>
        </w:rPr>
        <w:t xml:space="preserve">证范围的持续适宜性。 </w:t>
      </w:r>
    </w:p>
    <w:p>
      <w:pPr>
        <w:pStyle w:val="7"/>
        <w:numPr>
          <w:ilvl w:val="2"/>
          <w:numId w:val="6"/>
        </w:numPr>
        <w:tabs>
          <w:tab w:val="left" w:pos="1452"/>
        </w:tabs>
        <w:spacing w:before="0" w:after="0" w:line="422" w:lineRule="auto"/>
        <w:ind w:left="779" w:right="251" w:firstLine="0"/>
        <w:jc w:val="both"/>
        <w:rPr>
          <w:sz w:val="24"/>
        </w:rPr>
      </w:pPr>
      <w:r>
        <w:rPr>
          <w:spacing w:val="-1"/>
          <w:sz w:val="24"/>
        </w:rPr>
        <w:t>认证证书有效期届满前，满足《批准、保持、更新、扩大、缩小、暂停、注销、</w:t>
      </w:r>
      <w:r>
        <w:rPr>
          <w:spacing w:val="-8"/>
          <w:sz w:val="24"/>
        </w:rPr>
        <w:t xml:space="preserve">撤销认证程序》之“更新认证的条件”时，获证组织至少应提前 </w:t>
      </w:r>
      <w:r>
        <w:rPr>
          <w:sz w:val="24"/>
        </w:rPr>
        <w:t>3</w:t>
      </w:r>
      <w:r>
        <w:rPr>
          <w:spacing w:val="-9"/>
          <w:sz w:val="24"/>
        </w:rPr>
        <w:t xml:space="preserve"> 个月向公司提出再认</w:t>
      </w:r>
      <w:r>
        <w:rPr>
          <w:spacing w:val="-7"/>
          <w:sz w:val="24"/>
        </w:rPr>
        <w:t>证申请，公司受理后，组织再认证。认证证书到期前，应完成再认证审核的全部程序并</w:t>
      </w:r>
      <w:r>
        <w:rPr>
          <w:spacing w:val="-6"/>
          <w:sz w:val="24"/>
        </w:rPr>
        <w:t>做出认证决定，使新的认证周期在上一个认证周期结束时已经生效。如果因为获证组织</w:t>
      </w:r>
      <w:r>
        <w:rPr>
          <w:spacing w:val="-3"/>
          <w:sz w:val="24"/>
        </w:rPr>
        <w:t>原因导致在上一个认证有效期终止时未能做出认证决定的，本次认证自然终止。若该组</w:t>
      </w:r>
      <w:r>
        <w:rPr>
          <w:sz w:val="24"/>
        </w:rPr>
        <w:t xml:space="preserve">织重新申请认证，只能按照初审予以受理。再认证符合要求后，更新认证证书。 </w:t>
      </w:r>
    </w:p>
    <w:p>
      <w:pPr>
        <w:pStyle w:val="7"/>
        <w:numPr>
          <w:ilvl w:val="2"/>
          <w:numId w:val="6"/>
        </w:numPr>
        <w:tabs>
          <w:tab w:val="left" w:pos="1452"/>
        </w:tabs>
        <w:spacing w:before="0" w:after="0" w:line="301" w:lineRule="exact"/>
        <w:ind w:left="1451" w:right="0" w:hanging="673"/>
        <w:jc w:val="both"/>
      </w:pPr>
      <w:r>
        <w:rPr>
          <w:sz w:val="24"/>
        </w:rPr>
        <w:t>当获证组织为了统一不同领域认证证书周期时，可以申请将某个领域提前进行再</w:t>
      </w:r>
      <w:r>
        <w:t xml:space="preserve">认证，但该领域应至少接受过一次监督审核。 </w:t>
      </w:r>
    </w:p>
    <w:p>
      <w:pPr>
        <w:pStyle w:val="3"/>
        <w:spacing w:before="2"/>
        <w:rPr>
          <w:sz w:val="18"/>
        </w:rPr>
      </w:pPr>
    </w:p>
    <w:p>
      <w:pPr>
        <w:pStyle w:val="7"/>
        <w:numPr>
          <w:ilvl w:val="2"/>
          <w:numId w:val="6"/>
        </w:numPr>
        <w:tabs>
          <w:tab w:val="left" w:pos="1452"/>
        </w:tabs>
        <w:spacing w:before="0" w:after="0" w:line="422" w:lineRule="auto"/>
        <w:ind w:left="779" w:right="131" w:firstLine="0"/>
        <w:jc w:val="both"/>
        <w:rPr>
          <w:sz w:val="24"/>
        </w:rPr>
      </w:pPr>
      <w:r>
        <w:rPr>
          <w:sz w:val="24"/>
        </w:rPr>
        <w:t>再认证程序与初次认证第二阶段审核程序一致，当管理体系及获证组织的内部和</w:t>
      </w:r>
      <w:r>
        <w:rPr>
          <w:spacing w:val="-4"/>
          <w:sz w:val="24"/>
        </w:rPr>
        <w:t>外部环境无重大变更时，再认证审核可省略第一阶段审核。当管理体系、获证组织或管理体系的运作环境（如法律的变更）</w:t>
      </w:r>
      <w:r>
        <w:rPr>
          <w:spacing w:val="-6"/>
          <w:sz w:val="24"/>
        </w:rPr>
        <w:t>有重大变更时，再认证审核应安排第一阶段审核。</w:t>
      </w:r>
      <w:r>
        <w:rPr>
          <w:sz w:val="24"/>
        </w:rPr>
        <w:t xml:space="preserve"> </w:t>
      </w:r>
    </w:p>
    <w:p>
      <w:pPr>
        <w:pStyle w:val="7"/>
        <w:numPr>
          <w:ilvl w:val="2"/>
          <w:numId w:val="6"/>
        </w:numPr>
        <w:tabs>
          <w:tab w:val="left" w:pos="1452"/>
        </w:tabs>
        <w:spacing w:before="0" w:after="0" w:line="422" w:lineRule="auto"/>
        <w:ind w:left="779" w:right="251" w:firstLine="0"/>
        <w:jc w:val="both"/>
        <w:rPr>
          <w:sz w:val="24"/>
        </w:rPr>
      </w:pPr>
      <w:r>
        <w:rPr>
          <w:spacing w:val="-1"/>
          <w:sz w:val="24"/>
        </w:rPr>
        <w:t>当获证组织申请利用再认证审核来扩大认证范围时，公司将对扩大认证范围的申</w:t>
      </w:r>
      <w:r>
        <w:rPr>
          <w:sz w:val="24"/>
        </w:rPr>
        <w:t xml:space="preserve">请进行评审，通过现场审核后，做出能否予以扩大的决定。 </w:t>
      </w:r>
    </w:p>
    <w:p>
      <w:pPr>
        <w:pStyle w:val="7"/>
        <w:numPr>
          <w:ilvl w:val="2"/>
          <w:numId w:val="6"/>
        </w:numPr>
        <w:tabs>
          <w:tab w:val="left" w:pos="1440"/>
        </w:tabs>
        <w:spacing w:before="0" w:after="0" w:line="422" w:lineRule="auto"/>
        <w:ind w:left="779" w:right="251" w:firstLine="0"/>
        <w:jc w:val="both"/>
        <w:rPr>
          <w:sz w:val="24"/>
        </w:rPr>
      </w:pPr>
      <w:r>
        <w:rPr>
          <w:spacing w:val="-7"/>
          <w:sz w:val="24"/>
        </w:rPr>
        <w:t>在极个别特殊情况下</w:t>
      </w:r>
      <w:r>
        <w:rPr>
          <w:sz w:val="24"/>
        </w:rPr>
        <w:t>（例如自然灾害</w:t>
      </w:r>
      <w:r>
        <w:rPr>
          <w:spacing w:val="-87"/>
          <w:sz w:val="24"/>
        </w:rPr>
        <w:t>）</w:t>
      </w:r>
      <w:r>
        <w:rPr>
          <w:spacing w:val="-11"/>
          <w:sz w:val="24"/>
        </w:rPr>
        <w:t>，如果公司因不可抗力无法及时对某个获证</w:t>
      </w:r>
      <w:r>
        <w:rPr>
          <w:spacing w:val="-3"/>
          <w:sz w:val="24"/>
        </w:rPr>
        <w:t xml:space="preserve">组织实施再认证并换发认证证书，拟延长其认证证书有效期，应报 </w:t>
      </w:r>
      <w:r>
        <w:rPr>
          <w:sz w:val="24"/>
        </w:rPr>
        <w:t>CNCA</w:t>
      </w:r>
      <w:r>
        <w:rPr>
          <w:spacing w:val="-3"/>
          <w:sz w:val="24"/>
        </w:rPr>
        <w:t xml:space="preserve"> 核准后方可实</w:t>
      </w:r>
      <w:r>
        <w:rPr>
          <w:sz w:val="24"/>
        </w:rPr>
        <w:t xml:space="preserve">施。 </w:t>
      </w:r>
    </w:p>
    <w:p>
      <w:pPr>
        <w:pStyle w:val="7"/>
        <w:numPr>
          <w:ilvl w:val="2"/>
          <w:numId w:val="6"/>
        </w:numPr>
        <w:tabs>
          <w:tab w:val="left" w:pos="1452"/>
        </w:tabs>
        <w:spacing w:before="0" w:after="0" w:line="422" w:lineRule="auto"/>
        <w:ind w:left="779" w:right="251" w:firstLine="0"/>
        <w:jc w:val="both"/>
        <w:rPr>
          <w:sz w:val="24"/>
        </w:rPr>
      </w:pPr>
      <w:r>
        <w:rPr>
          <w:spacing w:val="-1"/>
          <w:sz w:val="24"/>
        </w:rPr>
        <w:t>对于再认证项目所有对应的认证范围应有生产现场。现场审核时，因产品季节性</w:t>
      </w:r>
      <w:r>
        <w:rPr>
          <w:sz w:val="24"/>
        </w:rPr>
        <w:t xml:space="preserve">等原因造成部分认证范围无生产现场的，审核组将建议缩小相应认证范围。 </w:t>
      </w:r>
    </w:p>
    <w:p>
      <w:pPr>
        <w:pStyle w:val="7"/>
        <w:numPr>
          <w:ilvl w:val="1"/>
          <w:numId w:val="6"/>
        </w:numPr>
        <w:tabs>
          <w:tab w:val="left" w:pos="1200"/>
        </w:tabs>
        <w:spacing w:before="0" w:after="0" w:line="305" w:lineRule="exact"/>
        <w:ind w:left="1199" w:right="0" w:hanging="421"/>
        <w:jc w:val="both"/>
        <w:rPr>
          <w:sz w:val="24"/>
        </w:rPr>
      </w:pPr>
      <w:r>
        <w:rPr>
          <w:sz w:val="24"/>
        </w:rPr>
        <w:t xml:space="preserve">终止审核 </w:t>
      </w:r>
    </w:p>
    <w:p>
      <w:pPr>
        <w:pStyle w:val="3"/>
        <w:spacing w:before="6"/>
        <w:rPr>
          <w:sz w:val="17"/>
        </w:rPr>
      </w:pPr>
    </w:p>
    <w:p>
      <w:pPr>
        <w:pStyle w:val="3"/>
        <w:ind w:left="779"/>
      </w:pPr>
      <w:r>
        <w:t xml:space="preserve">当发生以下情况时，审核组将会终止审核： </w:t>
      </w:r>
    </w:p>
    <w:p>
      <w:pPr>
        <w:pStyle w:val="3"/>
        <w:spacing w:before="2"/>
        <w:rPr>
          <w:sz w:val="18"/>
        </w:rPr>
      </w:pPr>
    </w:p>
    <w:p>
      <w:pPr>
        <w:pStyle w:val="7"/>
        <w:numPr>
          <w:ilvl w:val="0"/>
          <w:numId w:val="12"/>
        </w:numPr>
        <w:tabs>
          <w:tab w:val="left" w:pos="1774"/>
        </w:tabs>
        <w:spacing w:before="0" w:after="0" w:line="240" w:lineRule="auto"/>
        <w:ind w:left="1773" w:right="0" w:hanging="284"/>
        <w:jc w:val="left"/>
        <w:rPr>
          <w:sz w:val="24"/>
        </w:rPr>
      </w:pPr>
      <w:r>
        <w:rPr>
          <w:sz w:val="24"/>
        </w:rPr>
        <w:t xml:space="preserve">受审核方对审核活动不予配合，审核活动无法进行； </w:t>
      </w:r>
    </w:p>
    <w:p>
      <w:pPr>
        <w:pStyle w:val="7"/>
        <w:numPr>
          <w:ilvl w:val="0"/>
          <w:numId w:val="12"/>
        </w:numPr>
        <w:tabs>
          <w:tab w:val="left" w:pos="1774"/>
        </w:tabs>
        <w:spacing w:before="233" w:after="0" w:line="240" w:lineRule="auto"/>
        <w:ind w:left="1773" w:right="0" w:hanging="284"/>
        <w:jc w:val="left"/>
        <w:rPr>
          <w:sz w:val="24"/>
        </w:rPr>
      </w:pPr>
      <w:r>
        <w:rPr>
          <w:sz w:val="24"/>
        </w:rPr>
        <w:t xml:space="preserve">受审核方的管理体系有重大缺陷，不符合标准的要求； </w:t>
      </w:r>
    </w:p>
    <w:p>
      <w:pPr>
        <w:pStyle w:val="7"/>
        <w:numPr>
          <w:ilvl w:val="0"/>
          <w:numId w:val="12"/>
        </w:numPr>
        <w:tabs>
          <w:tab w:val="left" w:pos="1774"/>
        </w:tabs>
        <w:spacing w:before="232" w:after="0" w:line="240" w:lineRule="auto"/>
        <w:ind w:left="1773" w:right="0" w:hanging="284"/>
        <w:jc w:val="left"/>
        <w:rPr>
          <w:sz w:val="24"/>
        </w:rPr>
      </w:pPr>
      <w:r>
        <w:rPr>
          <w:sz w:val="24"/>
        </w:rPr>
        <w:t xml:space="preserve">发现受审核方体系运行存在重大问题或有其他严重违法违规行为； </w:t>
      </w:r>
    </w:p>
    <w:p>
      <w:pPr>
        <w:pStyle w:val="7"/>
        <w:numPr>
          <w:ilvl w:val="0"/>
          <w:numId w:val="12"/>
        </w:numPr>
        <w:tabs>
          <w:tab w:val="left" w:pos="1774"/>
        </w:tabs>
        <w:spacing w:before="233" w:after="0" w:line="240" w:lineRule="auto"/>
        <w:ind w:left="1773" w:right="0" w:hanging="284"/>
        <w:jc w:val="left"/>
        <w:rPr>
          <w:sz w:val="24"/>
        </w:rPr>
      </w:pPr>
      <w:r>
        <w:rPr>
          <w:spacing w:val="-3"/>
          <w:sz w:val="24"/>
        </w:rPr>
        <w:t xml:space="preserve">管理体系文件不符合现场实际、体系未有效运行满足 </w:t>
      </w:r>
      <w:r>
        <w:rPr>
          <w:sz w:val="24"/>
        </w:rPr>
        <w:t>3</w:t>
      </w:r>
      <w:r>
        <w:rPr>
          <w:spacing w:val="-10"/>
          <w:sz w:val="24"/>
        </w:rPr>
        <w:t xml:space="preserve"> 个月要的； </w:t>
      </w:r>
    </w:p>
    <w:p>
      <w:pPr>
        <w:pStyle w:val="7"/>
        <w:numPr>
          <w:ilvl w:val="0"/>
          <w:numId w:val="12"/>
        </w:numPr>
        <w:tabs>
          <w:tab w:val="left" w:pos="1774"/>
        </w:tabs>
        <w:spacing w:before="232" w:after="0" w:line="240" w:lineRule="auto"/>
        <w:ind w:left="1773" w:right="0" w:hanging="284"/>
        <w:jc w:val="left"/>
        <w:rPr>
          <w:sz w:val="24"/>
        </w:rPr>
      </w:pPr>
      <w:r>
        <w:rPr>
          <w:sz w:val="24"/>
        </w:rPr>
        <w:t xml:space="preserve">其他导致审核程序无法完成的情况。 </w:t>
      </w:r>
    </w:p>
    <w:p>
      <w:pPr>
        <w:pStyle w:val="2"/>
        <w:tabs>
          <w:tab w:val="left" w:pos="921"/>
        </w:tabs>
        <w:spacing w:before="142"/>
      </w:pPr>
      <w:r>
        <w:t>6.0</w:t>
      </w:r>
      <w:r>
        <w:tab/>
      </w:r>
      <w:r>
        <w:t>修订历史</w:t>
      </w:r>
    </w:p>
    <w:p>
      <w:pPr>
        <w:pStyle w:val="3"/>
        <w:spacing w:before="7"/>
        <w:rPr>
          <w:rFonts w:ascii="黑体"/>
          <w:b/>
          <w:sz w:val="17"/>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1561"/>
        <w:gridCol w:w="5104"/>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27" w:type="dxa"/>
            <w:shd w:val="clear" w:color="auto" w:fill="BEBEBE"/>
          </w:tcPr>
          <w:p>
            <w:pPr>
              <w:pStyle w:val="8"/>
              <w:spacing w:before="122"/>
              <w:ind w:left="131"/>
              <w:jc w:val="left"/>
              <w:rPr>
                <w:sz w:val="24"/>
              </w:rPr>
            </w:pPr>
            <w:r>
              <w:rPr>
                <w:sz w:val="24"/>
              </w:rPr>
              <w:t>修订编号</w:t>
            </w:r>
          </w:p>
        </w:tc>
        <w:tc>
          <w:tcPr>
            <w:tcW w:w="1561" w:type="dxa"/>
            <w:shd w:val="clear" w:color="auto" w:fill="BEBEBE"/>
          </w:tcPr>
          <w:p>
            <w:pPr>
              <w:pStyle w:val="8"/>
              <w:spacing w:before="122"/>
              <w:ind w:left="299"/>
              <w:jc w:val="left"/>
              <w:rPr>
                <w:sz w:val="24"/>
              </w:rPr>
            </w:pPr>
            <w:r>
              <w:rPr>
                <w:sz w:val="24"/>
              </w:rPr>
              <w:t>实施日期</w:t>
            </w:r>
          </w:p>
        </w:tc>
        <w:tc>
          <w:tcPr>
            <w:tcW w:w="5104" w:type="dxa"/>
            <w:shd w:val="clear" w:color="auto" w:fill="BEBEBE"/>
          </w:tcPr>
          <w:p>
            <w:pPr>
              <w:pStyle w:val="8"/>
              <w:spacing w:before="120"/>
              <w:ind w:left="1757" w:right="1751"/>
              <w:rPr>
                <w:sz w:val="24"/>
              </w:rPr>
            </w:pPr>
            <w:r>
              <w:rPr>
                <w:sz w:val="24"/>
              </w:rPr>
              <w:t>制定</w:t>
            </w:r>
            <w:r>
              <w:rPr>
                <w:rFonts w:ascii="Century Gothic" w:eastAsia="Century Gothic"/>
                <w:i/>
                <w:sz w:val="24"/>
              </w:rPr>
              <w:t>/</w:t>
            </w:r>
            <w:r>
              <w:rPr>
                <w:sz w:val="24"/>
              </w:rPr>
              <w:t>修订内容</w:t>
            </w:r>
          </w:p>
        </w:tc>
        <w:tc>
          <w:tcPr>
            <w:tcW w:w="1933" w:type="dxa"/>
            <w:shd w:val="clear" w:color="auto" w:fill="BEBEBE"/>
          </w:tcPr>
          <w:p>
            <w:pPr>
              <w:pStyle w:val="8"/>
              <w:spacing w:before="122"/>
              <w:ind w:left="603"/>
              <w:jc w:val="left"/>
              <w:rPr>
                <w:sz w:val="24"/>
              </w:rPr>
            </w:pPr>
            <w:r>
              <w:rPr>
                <w:sz w:val="24"/>
              </w:rPr>
              <w:t>编制人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27" w:type="dxa"/>
            <w:vMerge w:val="restart"/>
          </w:tcPr>
          <w:p>
            <w:pPr>
              <w:pStyle w:val="8"/>
              <w:spacing w:before="0"/>
              <w:jc w:val="left"/>
              <w:rPr>
                <w:rFonts w:ascii="Times New Roman"/>
                <w:sz w:val="22"/>
              </w:rPr>
            </w:pPr>
          </w:p>
        </w:tc>
        <w:tc>
          <w:tcPr>
            <w:tcW w:w="1561" w:type="dxa"/>
            <w:vMerge w:val="restart"/>
          </w:tcPr>
          <w:p>
            <w:pPr>
              <w:pStyle w:val="8"/>
              <w:spacing w:before="0"/>
              <w:jc w:val="left"/>
              <w:rPr>
                <w:rFonts w:ascii="Times New Roman"/>
                <w:sz w:val="22"/>
              </w:rPr>
            </w:pPr>
          </w:p>
        </w:tc>
        <w:tc>
          <w:tcPr>
            <w:tcW w:w="5104" w:type="dxa"/>
            <w:vMerge w:val="restart"/>
          </w:tcPr>
          <w:p>
            <w:pPr>
              <w:pStyle w:val="8"/>
              <w:spacing w:before="0"/>
              <w:jc w:val="left"/>
              <w:rPr>
                <w:rFonts w:ascii="Times New Roman"/>
                <w:sz w:val="22"/>
              </w:rPr>
            </w:pPr>
          </w:p>
        </w:tc>
        <w:tc>
          <w:tcPr>
            <w:tcW w:w="1933" w:type="dxa"/>
          </w:tcPr>
          <w:p>
            <w:pPr>
              <w:pStyle w:val="8"/>
              <w:spacing w:before="55"/>
              <w:ind w:left="663"/>
              <w:jc w:val="left"/>
              <w:rPr>
                <w:rFonts w:hint="eastAsia" w:ascii="等线" w:eastAsia="等线"/>
                <w:sz w:val="20"/>
              </w:rPr>
            </w:pPr>
            <w:r>
              <w:rPr>
                <w:rFonts w:hint="eastAsia" w:ascii="等线" w:eastAsia="等线"/>
                <w:sz w:val="20"/>
              </w:rPr>
              <w:t>行政部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227"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5104" w:type="dxa"/>
            <w:vMerge w:val="continue"/>
            <w:tcBorders>
              <w:top w:val="nil"/>
            </w:tcBorders>
          </w:tcPr>
          <w:p>
            <w:pPr>
              <w:rPr>
                <w:sz w:val="2"/>
                <w:szCs w:val="2"/>
              </w:rPr>
            </w:pPr>
          </w:p>
        </w:tc>
        <w:tc>
          <w:tcPr>
            <w:tcW w:w="1933" w:type="dxa"/>
          </w:tcPr>
          <w:p>
            <w:pPr>
              <w:pStyle w:val="8"/>
              <w:spacing w:before="0"/>
              <w:jc w:val="left"/>
              <w:rPr>
                <w:rFonts w:ascii="Times New Roman"/>
                <w:sz w:val="22"/>
              </w:rPr>
            </w:pPr>
          </w:p>
        </w:tc>
      </w:tr>
    </w:tbl>
    <w:p>
      <w:pPr>
        <w:pStyle w:val="3"/>
        <w:rPr>
          <w:rFonts w:ascii="黑体"/>
          <w:b/>
        </w:rPr>
      </w:pPr>
    </w:p>
    <w:p>
      <w:pPr>
        <w:pStyle w:val="3"/>
        <w:rPr>
          <w:rFonts w:ascii="黑体"/>
          <w:b/>
        </w:rPr>
      </w:pPr>
    </w:p>
    <w:p>
      <w:pPr>
        <w:pStyle w:val="3"/>
        <w:rPr>
          <w:rFonts w:ascii="黑体"/>
          <w:b/>
        </w:rPr>
      </w:pPr>
    </w:p>
    <w:p>
      <w:pPr>
        <w:pStyle w:val="3"/>
        <w:spacing w:before="5"/>
        <w:rPr>
          <w:rFonts w:ascii="黑体"/>
          <w:b/>
          <w:sz w:val="21"/>
        </w:rPr>
      </w:pPr>
    </w:p>
    <w:p>
      <w:pPr>
        <w:pStyle w:val="3"/>
        <w:spacing w:before="1"/>
        <w:ind w:left="212"/>
      </w:pPr>
      <w:r>
        <w:t xml:space="preserve"> </w:t>
      </w:r>
    </w:p>
    <w:p>
      <w:pPr>
        <w:spacing w:after="0"/>
        <w:sectPr>
          <w:headerReference r:id="rId5" w:type="default"/>
          <w:footerReference r:id="rId6" w:type="default"/>
          <w:pgSz w:w="11910" w:h="16840"/>
          <w:pgMar w:top="1134" w:right="850" w:bottom="567" w:left="850" w:header="336" w:footer="584" w:gutter="0"/>
          <w:paperSrc/>
          <w:cols w:space="0" w:num="1"/>
          <w:rtlGutter w:val="0"/>
          <w:docGrid w:linePitch="0" w:charSpace="0"/>
        </w:sectPr>
      </w:pPr>
    </w:p>
    <w:p>
      <w:pPr>
        <w:pStyle w:val="3"/>
        <w:spacing w:before="10"/>
        <w:rPr>
          <w:sz w:val="11"/>
        </w:rPr>
      </w:pPr>
    </w:p>
    <w:p>
      <w:pPr>
        <w:spacing w:before="62"/>
        <w:ind w:left="212" w:right="0" w:firstLine="0"/>
        <w:jc w:val="left"/>
        <w:rPr>
          <w:sz w:val="28"/>
        </w:rPr>
      </w:pPr>
      <w:r>
        <w:rPr>
          <w:sz w:val="28"/>
        </w:rPr>
        <w:t xml:space="preserve">附录 A </w:t>
      </w:r>
    </w:p>
    <w:p>
      <w:pPr>
        <w:pStyle w:val="3"/>
        <w:rPr>
          <w:sz w:val="20"/>
        </w:rPr>
      </w:pPr>
    </w:p>
    <w:p>
      <w:pPr>
        <w:pStyle w:val="3"/>
        <w:rPr>
          <w:sz w:val="18"/>
        </w:rPr>
      </w:pPr>
    </w:p>
    <w:p>
      <w:pPr>
        <w:spacing w:before="61"/>
        <w:ind w:left="2283" w:right="2186" w:firstLine="0"/>
        <w:jc w:val="center"/>
        <w:rPr>
          <w:sz w:val="28"/>
        </w:rPr>
      </w:pPr>
      <w:r>
        <w:rPr>
          <w:sz w:val="28"/>
        </w:rPr>
        <w:t xml:space="preserve">健康、安全与环境管理体系认证审核时间要求 </w:t>
      </w:r>
    </w:p>
    <w:p>
      <w:pPr>
        <w:pStyle w:val="3"/>
        <w:spacing w:before="4"/>
        <w:rPr>
          <w:sz w:val="23"/>
        </w:rPr>
      </w:pPr>
    </w:p>
    <w:tbl>
      <w:tblPr>
        <w:tblStyle w:val="4"/>
        <w:tblW w:w="0" w:type="auto"/>
        <w:tblInd w:w="6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2"/>
        <w:gridCol w:w="780"/>
        <w:gridCol w:w="781"/>
        <w:gridCol w:w="778"/>
        <w:gridCol w:w="780"/>
        <w:gridCol w:w="1419"/>
        <w:gridCol w:w="833"/>
        <w:gridCol w:w="834"/>
        <w:gridCol w:w="833"/>
        <w:gridCol w:w="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6" w:hRule="atLeast"/>
        </w:trPr>
        <w:tc>
          <w:tcPr>
            <w:tcW w:w="1202" w:type="dxa"/>
            <w:vMerge w:val="restart"/>
            <w:tcBorders>
              <w:bottom w:val="single" w:color="000000" w:sz="6" w:space="0"/>
              <w:right w:val="single" w:color="000000" w:sz="6" w:space="0"/>
            </w:tcBorders>
          </w:tcPr>
          <w:p>
            <w:pPr>
              <w:pStyle w:val="8"/>
              <w:spacing w:before="0"/>
              <w:jc w:val="left"/>
              <w:rPr>
                <w:sz w:val="20"/>
              </w:rPr>
            </w:pPr>
          </w:p>
          <w:p>
            <w:pPr>
              <w:pStyle w:val="8"/>
              <w:spacing w:before="0"/>
              <w:jc w:val="left"/>
              <w:rPr>
                <w:sz w:val="20"/>
              </w:rPr>
            </w:pPr>
          </w:p>
          <w:p>
            <w:pPr>
              <w:pStyle w:val="8"/>
              <w:spacing w:before="129"/>
              <w:ind w:left="181"/>
              <w:jc w:val="left"/>
              <w:rPr>
                <w:sz w:val="21"/>
              </w:rPr>
            </w:pPr>
            <w:r>
              <w:rPr>
                <w:sz w:val="21"/>
              </w:rPr>
              <w:t xml:space="preserve">有效人数 </w:t>
            </w:r>
          </w:p>
        </w:tc>
        <w:tc>
          <w:tcPr>
            <w:tcW w:w="3119" w:type="dxa"/>
            <w:gridSpan w:val="4"/>
            <w:tcBorders>
              <w:left w:val="single" w:color="000000" w:sz="6" w:space="0"/>
              <w:bottom w:val="single" w:color="000000" w:sz="4" w:space="0"/>
              <w:right w:val="double" w:color="000000" w:sz="0" w:space="0"/>
            </w:tcBorders>
          </w:tcPr>
          <w:p>
            <w:pPr>
              <w:pStyle w:val="8"/>
              <w:spacing w:before="140" w:line="326" w:lineRule="auto"/>
              <w:ind w:left="420" w:right="368"/>
              <w:rPr>
                <w:sz w:val="21"/>
              </w:rPr>
            </w:pPr>
            <w:r>
              <w:rPr>
                <w:sz w:val="21"/>
              </w:rPr>
              <w:t xml:space="preserve">不同风险等级的审核时间第1阶段＋第2阶段 </w:t>
            </w:r>
          </w:p>
          <w:p>
            <w:pPr>
              <w:pStyle w:val="8"/>
              <w:spacing w:before="0" w:line="195" w:lineRule="exact"/>
              <w:ind w:left="420" w:right="266"/>
              <w:rPr>
                <w:sz w:val="21"/>
              </w:rPr>
            </w:pPr>
            <w:r>
              <w:rPr>
                <w:sz w:val="21"/>
              </w:rPr>
              <w:t xml:space="preserve">（天） </w:t>
            </w:r>
          </w:p>
        </w:tc>
        <w:tc>
          <w:tcPr>
            <w:tcW w:w="1419" w:type="dxa"/>
            <w:vMerge w:val="restart"/>
            <w:tcBorders>
              <w:left w:val="double" w:color="000000" w:sz="0" w:space="0"/>
              <w:bottom w:val="single" w:color="000000" w:sz="6" w:space="0"/>
              <w:right w:val="single" w:color="000000" w:sz="6" w:space="0"/>
            </w:tcBorders>
          </w:tcPr>
          <w:p>
            <w:pPr>
              <w:pStyle w:val="8"/>
              <w:spacing w:before="0"/>
              <w:jc w:val="left"/>
              <w:rPr>
                <w:sz w:val="20"/>
              </w:rPr>
            </w:pPr>
          </w:p>
          <w:p>
            <w:pPr>
              <w:pStyle w:val="8"/>
              <w:spacing w:before="0"/>
              <w:jc w:val="left"/>
              <w:rPr>
                <w:sz w:val="20"/>
              </w:rPr>
            </w:pPr>
          </w:p>
          <w:p>
            <w:pPr>
              <w:pStyle w:val="8"/>
              <w:spacing w:before="129"/>
              <w:ind w:left="292"/>
              <w:jc w:val="left"/>
              <w:rPr>
                <w:sz w:val="21"/>
              </w:rPr>
            </w:pPr>
            <w:r>
              <w:rPr>
                <w:sz w:val="21"/>
              </w:rPr>
              <w:t xml:space="preserve">有效人数 </w:t>
            </w:r>
          </w:p>
        </w:tc>
        <w:tc>
          <w:tcPr>
            <w:tcW w:w="3335" w:type="dxa"/>
            <w:gridSpan w:val="4"/>
            <w:tcBorders>
              <w:left w:val="single" w:color="000000" w:sz="6" w:space="0"/>
              <w:bottom w:val="single" w:color="000000" w:sz="4" w:space="0"/>
            </w:tcBorders>
          </w:tcPr>
          <w:p>
            <w:pPr>
              <w:pStyle w:val="8"/>
              <w:spacing w:before="140" w:line="326" w:lineRule="auto"/>
              <w:ind w:left="524" w:right="476"/>
              <w:rPr>
                <w:sz w:val="21"/>
              </w:rPr>
            </w:pPr>
            <w:r>
              <w:rPr>
                <w:sz w:val="21"/>
              </w:rPr>
              <w:t xml:space="preserve">不同风险等级的审核时间第1阶段＋第2阶段 </w:t>
            </w:r>
          </w:p>
          <w:p>
            <w:pPr>
              <w:pStyle w:val="8"/>
              <w:spacing w:before="0" w:line="195" w:lineRule="exact"/>
              <w:ind w:left="524" w:right="375"/>
              <w:rPr>
                <w:sz w:val="21"/>
              </w:rPr>
            </w:pPr>
            <w:r>
              <w:rPr>
                <w:sz w:val="21"/>
              </w:rPr>
              <w:t xml:space="preserve">（天）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1202" w:type="dxa"/>
            <w:vMerge w:val="continue"/>
            <w:tcBorders>
              <w:top w:val="nil"/>
              <w:bottom w:val="single" w:color="000000" w:sz="6" w:space="0"/>
              <w:right w:val="single" w:color="000000" w:sz="6" w:space="0"/>
            </w:tcBorders>
          </w:tcPr>
          <w:p>
            <w:pPr>
              <w:rPr>
                <w:sz w:val="2"/>
                <w:szCs w:val="2"/>
              </w:rPr>
            </w:pPr>
          </w:p>
        </w:tc>
        <w:tc>
          <w:tcPr>
            <w:tcW w:w="780" w:type="dxa"/>
            <w:tcBorders>
              <w:top w:val="single" w:color="000000" w:sz="4" w:space="0"/>
              <w:left w:val="single" w:color="000000" w:sz="6" w:space="0"/>
              <w:bottom w:val="single" w:color="000000" w:sz="6" w:space="0"/>
              <w:right w:val="single" w:color="000000" w:sz="4" w:space="0"/>
            </w:tcBorders>
          </w:tcPr>
          <w:p>
            <w:pPr>
              <w:pStyle w:val="8"/>
              <w:spacing w:before="135"/>
              <w:ind w:left="269" w:right="142"/>
              <w:rPr>
                <w:sz w:val="21"/>
              </w:rPr>
            </w:pPr>
            <w:r>
              <w:rPr>
                <w:sz w:val="21"/>
              </w:rPr>
              <w:t xml:space="preserve">高 </w:t>
            </w:r>
          </w:p>
        </w:tc>
        <w:tc>
          <w:tcPr>
            <w:tcW w:w="781" w:type="dxa"/>
            <w:tcBorders>
              <w:top w:val="single" w:color="000000" w:sz="4" w:space="0"/>
              <w:left w:val="single" w:color="000000" w:sz="4" w:space="0"/>
              <w:bottom w:val="single" w:color="000000" w:sz="6" w:space="0"/>
              <w:right w:val="single" w:color="000000" w:sz="4" w:space="0"/>
            </w:tcBorders>
          </w:tcPr>
          <w:p>
            <w:pPr>
              <w:pStyle w:val="8"/>
              <w:spacing w:before="135"/>
              <w:ind w:left="265" w:right="145"/>
              <w:rPr>
                <w:sz w:val="21"/>
              </w:rPr>
            </w:pPr>
            <w:r>
              <w:rPr>
                <w:sz w:val="21"/>
              </w:rPr>
              <w:t xml:space="preserve">中 </w:t>
            </w:r>
          </w:p>
        </w:tc>
        <w:tc>
          <w:tcPr>
            <w:tcW w:w="778" w:type="dxa"/>
            <w:tcBorders>
              <w:top w:val="single" w:color="000000" w:sz="4" w:space="0"/>
              <w:left w:val="single" w:color="000000" w:sz="4" w:space="0"/>
              <w:bottom w:val="single" w:color="000000" w:sz="6" w:space="0"/>
              <w:right w:val="single" w:color="000000" w:sz="4" w:space="0"/>
            </w:tcBorders>
          </w:tcPr>
          <w:p>
            <w:pPr>
              <w:pStyle w:val="8"/>
              <w:spacing w:before="135"/>
              <w:ind w:left="267" w:right="146"/>
              <w:rPr>
                <w:sz w:val="21"/>
              </w:rPr>
            </w:pPr>
            <w:r>
              <w:rPr>
                <w:sz w:val="21"/>
              </w:rPr>
              <w:t xml:space="preserve">低 </w:t>
            </w:r>
          </w:p>
        </w:tc>
        <w:tc>
          <w:tcPr>
            <w:tcW w:w="780" w:type="dxa"/>
            <w:tcBorders>
              <w:top w:val="single" w:color="000000" w:sz="4" w:space="0"/>
              <w:left w:val="single" w:color="000000" w:sz="4" w:space="0"/>
              <w:bottom w:val="single" w:color="000000" w:sz="6" w:space="0"/>
              <w:right w:val="double" w:color="000000" w:sz="0" w:space="0"/>
            </w:tcBorders>
          </w:tcPr>
          <w:p>
            <w:pPr>
              <w:pStyle w:val="8"/>
              <w:spacing w:before="135"/>
              <w:ind w:left="184"/>
              <w:jc w:val="left"/>
              <w:rPr>
                <w:sz w:val="21"/>
              </w:rPr>
            </w:pPr>
            <w:r>
              <w:rPr>
                <w:sz w:val="21"/>
              </w:rPr>
              <w:t xml:space="preserve">有限 </w:t>
            </w:r>
          </w:p>
        </w:tc>
        <w:tc>
          <w:tcPr>
            <w:tcW w:w="1419" w:type="dxa"/>
            <w:vMerge w:val="continue"/>
            <w:tcBorders>
              <w:top w:val="nil"/>
              <w:left w:val="double" w:color="000000" w:sz="0" w:space="0"/>
              <w:bottom w:val="single" w:color="000000" w:sz="6" w:space="0"/>
              <w:right w:val="single" w:color="000000" w:sz="6" w:space="0"/>
            </w:tcBorders>
          </w:tcPr>
          <w:p>
            <w:pPr>
              <w:rPr>
                <w:sz w:val="2"/>
                <w:szCs w:val="2"/>
              </w:rPr>
            </w:pPr>
          </w:p>
        </w:tc>
        <w:tc>
          <w:tcPr>
            <w:tcW w:w="833" w:type="dxa"/>
            <w:tcBorders>
              <w:top w:val="single" w:color="000000" w:sz="4" w:space="0"/>
              <w:left w:val="single" w:color="000000" w:sz="6" w:space="0"/>
              <w:bottom w:val="single" w:color="000000" w:sz="6" w:space="0"/>
              <w:right w:val="single" w:color="000000" w:sz="4" w:space="0"/>
            </w:tcBorders>
          </w:tcPr>
          <w:p>
            <w:pPr>
              <w:pStyle w:val="8"/>
              <w:spacing w:before="135"/>
              <w:ind w:right="190"/>
              <w:jc w:val="right"/>
              <w:rPr>
                <w:sz w:val="21"/>
              </w:rPr>
            </w:pPr>
            <w:r>
              <w:rPr>
                <w:sz w:val="21"/>
              </w:rPr>
              <w:t xml:space="preserve">高 </w:t>
            </w:r>
          </w:p>
        </w:tc>
        <w:tc>
          <w:tcPr>
            <w:tcW w:w="834" w:type="dxa"/>
            <w:tcBorders>
              <w:top w:val="single" w:color="000000" w:sz="4" w:space="0"/>
              <w:left w:val="single" w:color="000000" w:sz="4" w:space="0"/>
              <w:bottom w:val="single" w:color="000000" w:sz="6" w:space="0"/>
              <w:right w:val="single" w:color="000000" w:sz="4" w:space="0"/>
            </w:tcBorders>
          </w:tcPr>
          <w:p>
            <w:pPr>
              <w:pStyle w:val="8"/>
              <w:spacing w:before="135"/>
              <w:ind w:right="194"/>
              <w:jc w:val="right"/>
              <w:rPr>
                <w:sz w:val="21"/>
              </w:rPr>
            </w:pPr>
            <w:r>
              <w:rPr>
                <w:sz w:val="21"/>
              </w:rPr>
              <w:t xml:space="preserve">中 </w:t>
            </w:r>
          </w:p>
        </w:tc>
        <w:tc>
          <w:tcPr>
            <w:tcW w:w="833" w:type="dxa"/>
            <w:tcBorders>
              <w:top w:val="single" w:color="000000" w:sz="4" w:space="0"/>
              <w:left w:val="single" w:color="000000" w:sz="4" w:space="0"/>
              <w:bottom w:val="single" w:color="000000" w:sz="6" w:space="0"/>
              <w:right w:val="single" w:color="000000" w:sz="4" w:space="0"/>
            </w:tcBorders>
          </w:tcPr>
          <w:p>
            <w:pPr>
              <w:pStyle w:val="8"/>
              <w:spacing w:before="135"/>
              <w:ind w:right="193"/>
              <w:jc w:val="right"/>
              <w:rPr>
                <w:sz w:val="21"/>
              </w:rPr>
            </w:pPr>
            <w:r>
              <w:rPr>
                <w:sz w:val="21"/>
              </w:rPr>
              <w:t xml:space="preserve">低 </w:t>
            </w:r>
          </w:p>
        </w:tc>
        <w:tc>
          <w:tcPr>
            <w:tcW w:w="835" w:type="dxa"/>
            <w:tcBorders>
              <w:top w:val="single" w:color="000000" w:sz="4" w:space="0"/>
              <w:left w:val="single" w:color="000000" w:sz="4" w:space="0"/>
              <w:bottom w:val="single" w:color="000000" w:sz="6" w:space="0"/>
            </w:tcBorders>
          </w:tcPr>
          <w:p>
            <w:pPr>
              <w:pStyle w:val="8"/>
              <w:spacing w:before="135"/>
              <w:ind w:left="242" w:right="118"/>
              <w:rPr>
                <w:sz w:val="21"/>
              </w:rPr>
            </w:pPr>
            <w:r>
              <w:rPr>
                <w:sz w:val="21"/>
              </w:rPr>
              <w:t xml:space="preserve">有限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spacing w:before="124"/>
              <w:ind w:left="445"/>
              <w:jc w:val="left"/>
              <w:rPr>
                <w:sz w:val="21"/>
              </w:rPr>
            </w:pPr>
            <w:r>
              <w:rPr>
                <w:sz w:val="21"/>
              </w:rPr>
              <w:t xml:space="preserve">1-5 </w:t>
            </w:r>
          </w:p>
        </w:tc>
        <w:tc>
          <w:tcPr>
            <w:tcW w:w="780" w:type="dxa"/>
            <w:tcBorders>
              <w:top w:val="single" w:color="000000" w:sz="6" w:space="0"/>
              <w:left w:val="single" w:color="000000" w:sz="6" w:space="0"/>
              <w:bottom w:val="single" w:color="000000" w:sz="6" w:space="0"/>
              <w:right w:val="single" w:color="000000" w:sz="4" w:space="0"/>
            </w:tcBorders>
          </w:tcPr>
          <w:p>
            <w:pPr>
              <w:pStyle w:val="8"/>
              <w:spacing w:before="124"/>
              <w:ind w:left="269" w:right="139"/>
              <w:rPr>
                <w:sz w:val="21"/>
              </w:rPr>
            </w:pPr>
            <w:r>
              <w:rPr>
                <w:sz w:val="21"/>
              </w:rPr>
              <w:t xml:space="preserve">3 </w:t>
            </w:r>
          </w:p>
        </w:tc>
        <w:tc>
          <w:tcPr>
            <w:tcW w:w="781" w:type="dxa"/>
            <w:tcBorders>
              <w:top w:val="single" w:color="000000" w:sz="6" w:space="0"/>
              <w:left w:val="single" w:color="000000" w:sz="4" w:space="0"/>
              <w:bottom w:val="single" w:color="000000" w:sz="6" w:space="0"/>
              <w:right w:val="single" w:color="000000" w:sz="4" w:space="0"/>
            </w:tcBorders>
          </w:tcPr>
          <w:p>
            <w:pPr>
              <w:pStyle w:val="8"/>
              <w:spacing w:before="124"/>
              <w:ind w:left="270" w:right="145"/>
              <w:rPr>
                <w:sz w:val="21"/>
              </w:rPr>
            </w:pPr>
            <w:r>
              <w:rPr>
                <w:sz w:val="21"/>
              </w:rPr>
              <w:t xml:space="preserve">2.5 </w:t>
            </w:r>
          </w:p>
        </w:tc>
        <w:tc>
          <w:tcPr>
            <w:tcW w:w="778" w:type="dxa"/>
            <w:tcBorders>
              <w:top w:val="single" w:color="000000" w:sz="6" w:space="0"/>
              <w:left w:val="single" w:color="000000" w:sz="4" w:space="0"/>
              <w:bottom w:val="single" w:color="000000" w:sz="6" w:space="0"/>
              <w:right w:val="single" w:color="000000" w:sz="4" w:space="0"/>
            </w:tcBorders>
          </w:tcPr>
          <w:p>
            <w:pPr>
              <w:pStyle w:val="8"/>
              <w:spacing w:before="124"/>
              <w:ind w:left="267" w:right="146"/>
              <w:rPr>
                <w:sz w:val="21"/>
              </w:rPr>
            </w:pPr>
            <w:r>
              <w:rPr>
                <w:sz w:val="21"/>
              </w:rPr>
              <w:t xml:space="preserve">2.5 </w:t>
            </w:r>
          </w:p>
        </w:tc>
        <w:tc>
          <w:tcPr>
            <w:tcW w:w="780" w:type="dxa"/>
            <w:tcBorders>
              <w:top w:val="single" w:color="000000" w:sz="6" w:space="0"/>
              <w:left w:val="single" w:color="000000" w:sz="4" w:space="0"/>
              <w:bottom w:val="single" w:color="000000" w:sz="6" w:space="0"/>
              <w:right w:val="double" w:color="000000" w:sz="0" w:space="0"/>
            </w:tcBorders>
          </w:tcPr>
          <w:p>
            <w:pPr>
              <w:pStyle w:val="8"/>
              <w:spacing w:before="124"/>
              <w:ind w:left="236"/>
              <w:jc w:val="left"/>
              <w:rPr>
                <w:sz w:val="21"/>
              </w:rPr>
            </w:pPr>
            <w:r>
              <w:rPr>
                <w:sz w:val="21"/>
              </w:rPr>
              <w:t xml:space="preserve">2.5 </w:t>
            </w:r>
          </w:p>
        </w:tc>
        <w:tc>
          <w:tcPr>
            <w:tcW w:w="1419" w:type="dxa"/>
            <w:tcBorders>
              <w:top w:val="single" w:color="000000" w:sz="6" w:space="0"/>
              <w:left w:val="double" w:color="000000" w:sz="0" w:space="0"/>
              <w:bottom w:val="single" w:color="000000" w:sz="6" w:space="0"/>
              <w:right w:val="single" w:color="000000" w:sz="6" w:space="0"/>
            </w:tcBorders>
          </w:tcPr>
          <w:p>
            <w:pPr>
              <w:pStyle w:val="8"/>
              <w:spacing w:before="124"/>
              <w:ind w:left="220" w:right="94"/>
              <w:rPr>
                <w:sz w:val="21"/>
              </w:rPr>
            </w:pPr>
            <w:r>
              <w:rPr>
                <w:sz w:val="21"/>
              </w:rPr>
              <w:t xml:space="preserve">626-875 </w:t>
            </w:r>
          </w:p>
        </w:tc>
        <w:tc>
          <w:tcPr>
            <w:tcW w:w="833" w:type="dxa"/>
            <w:tcBorders>
              <w:top w:val="single" w:color="000000" w:sz="6" w:space="0"/>
              <w:left w:val="single" w:color="000000" w:sz="6" w:space="0"/>
              <w:bottom w:val="single" w:color="000000" w:sz="6" w:space="0"/>
              <w:right w:val="single" w:color="000000" w:sz="4" w:space="0"/>
            </w:tcBorders>
          </w:tcPr>
          <w:p>
            <w:pPr>
              <w:pStyle w:val="8"/>
              <w:spacing w:before="124"/>
              <w:ind w:right="185"/>
              <w:jc w:val="right"/>
              <w:rPr>
                <w:sz w:val="21"/>
              </w:rPr>
            </w:pPr>
            <w:r>
              <w:rPr>
                <w:sz w:val="21"/>
              </w:rPr>
              <w:t xml:space="preserve">17 </w:t>
            </w:r>
          </w:p>
        </w:tc>
        <w:tc>
          <w:tcPr>
            <w:tcW w:w="834" w:type="dxa"/>
            <w:tcBorders>
              <w:top w:val="single" w:color="000000" w:sz="6" w:space="0"/>
              <w:left w:val="single" w:color="000000" w:sz="4" w:space="0"/>
              <w:bottom w:val="single" w:color="000000" w:sz="6" w:space="0"/>
              <w:right w:val="single" w:color="000000" w:sz="4" w:space="0"/>
            </w:tcBorders>
          </w:tcPr>
          <w:p>
            <w:pPr>
              <w:pStyle w:val="8"/>
              <w:spacing w:before="124"/>
              <w:ind w:right="189"/>
              <w:jc w:val="right"/>
              <w:rPr>
                <w:sz w:val="21"/>
              </w:rPr>
            </w:pPr>
            <w:r>
              <w:rPr>
                <w:sz w:val="21"/>
              </w:rPr>
              <w:t xml:space="preserve">13 </w:t>
            </w:r>
          </w:p>
        </w:tc>
        <w:tc>
          <w:tcPr>
            <w:tcW w:w="833" w:type="dxa"/>
            <w:tcBorders>
              <w:top w:val="single" w:color="000000" w:sz="6" w:space="0"/>
              <w:left w:val="single" w:color="000000" w:sz="4" w:space="0"/>
              <w:bottom w:val="single" w:color="000000" w:sz="6" w:space="0"/>
              <w:right w:val="single" w:color="000000" w:sz="4" w:space="0"/>
            </w:tcBorders>
          </w:tcPr>
          <w:p>
            <w:pPr>
              <w:pStyle w:val="8"/>
              <w:spacing w:before="124"/>
              <w:ind w:right="189"/>
              <w:jc w:val="right"/>
              <w:rPr>
                <w:sz w:val="21"/>
              </w:rPr>
            </w:pPr>
            <w:r>
              <w:rPr>
                <w:sz w:val="21"/>
              </w:rPr>
              <w:t xml:space="preserve">10 </w:t>
            </w:r>
          </w:p>
        </w:tc>
        <w:tc>
          <w:tcPr>
            <w:tcW w:w="835" w:type="dxa"/>
            <w:tcBorders>
              <w:top w:val="single" w:color="000000" w:sz="6" w:space="0"/>
              <w:left w:val="single" w:color="000000" w:sz="4" w:space="0"/>
              <w:bottom w:val="single" w:color="000000" w:sz="6" w:space="0"/>
            </w:tcBorders>
          </w:tcPr>
          <w:p>
            <w:pPr>
              <w:pStyle w:val="8"/>
              <w:spacing w:before="124"/>
              <w:ind w:left="242" w:right="118"/>
              <w:rPr>
                <w:sz w:val="21"/>
              </w:rPr>
            </w:pPr>
            <w:r>
              <w:rPr>
                <w:sz w:val="21"/>
              </w:rPr>
              <w:t xml:space="preserve">6.5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ind w:left="393"/>
              <w:jc w:val="left"/>
              <w:rPr>
                <w:sz w:val="21"/>
              </w:rPr>
            </w:pPr>
            <w:r>
              <w:rPr>
                <w:sz w:val="21"/>
              </w:rPr>
              <w:t xml:space="preserve">6-10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42"/>
              <w:rPr>
                <w:sz w:val="21"/>
              </w:rPr>
            </w:pPr>
            <w:r>
              <w:rPr>
                <w:sz w:val="21"/>
              </w:rPr>
              <w:t xml:space="preserve">3.5 </w:t>
            </w:r>
          </w:p>
        </w:tc>
        <w:tc>
          <w:tcPr>
            <w:tcW w:w="781" w:type="dxa"/>
            <w:tcBorders>
              <w:top w:val="single" w:color="000000" w:sz="6" w:space="0"/>
              <w:left w:val="single" w:color="000000" w:sz="4" w:space="0"/>
              <w:bottom w:val="single" w:color="000000" w:sz="6" w:space="0"/>
              <w:right w:val="single" w:color="000000" w:sz="4" w:space="0"/>
            </w:tcBorders>
          </w:tcPr>
          <w:p>
            <w:pPr>
              <w:pStyle w:val="8"/>
              <w:ind w:left="268" w:right="145"/>
              <w:rPr>
                <w:sz w:val="21"/>
              </w:rPr>
            </w:pPr>
            <w:r>
              <w:rPr>
                <w:sz w:val="21"/>
              </w:rPr>
              <w:t xml:space="preserve">3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3"/>
              <w:rPr>
                <w:sz w:val="21"/>
              </w:rPr>
            </w:pPr>
            <w:r>
              <w:rPr>
                <w:sz w:val="21"/>
              </w:rPr>
              <w:t xml:space="preserve">3 </w:t>
            </w:r>
          </w:p>
        </w:tc>
        <w:tc>
          <w:tcPr>
            <w:tcW w:w="780" w:type="dxa"/>
            <w:tcBorders>
              <w:top w:val="single" w:color="000000" w:sz="6" w:space="0"/>
              <w:left w:val="single" w:color="000000" w:sz="4" w:space="0"/>
              <w:bottom w:val="single" w:color="000000" w:sz="6" w:space="0"/>
              <w:right w:val="double" w:color="000000" w:sz="0" w:space="0"/>
            </w:tcBorders>
          </w:tcPr>
          <w:p>
            <w:pPr>
              <w:pStyle w:val="8"/>
              <w:ind w:left="342"/>
              <w:jc w:val="left"/>
              <w:rPr>
                <w:sz w:val="21"/>
              </w:rPr>
            </w:pPr>
            <w:r>
              <w:rPr>
                <w:sz w:val="21"/>
              </w:rPr>
              <w:t xml:space="preserve">3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876-1175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19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15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11 </w:t>
            </w:r>
          </w:p>
        </w:tc>
        <w:tc>
          <w:tcPr>
            <w:tcW w:w="835" w:type="dxa"/>
            <w:tcBorders>
              <w:top w:val="single" w:color="000000" w:sz="6" w:space="0"/>
              <w:left w:val="single" w:color="000000" w:sz="4" w:space="0"/>
              <w:bottom w:val="single" w:color="000000" w:sz="6" w:space="0"/>
            </w:tcBorders>
          </w:tcPr>
          <w:p>
            <w:pPr>
              <w:pStyle w:val="8"/>
              <w:ind w:left="239" w:right="118"/>
              <w:rPr>
                <w:sz w:val="21"/>
              </w:rPr>
            </w:pPr>
            <w:r>
              <w:rPr>
                <w:sz w:val="21"/>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ind w:right="210"/>
              <w:jc w:val="right"/>
              <w:rPr>
                <w:sz w:val="21"/>
              </w:rPr>
            </w:pPr>
            <w:r>
              <w:rPr>
                <w:sz w:val="21"/>
              </w:rPr>
              <w:t xml:space="preserve">11-15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42"/>
              <w:rPr>
                <w:sz w:val="21"/>
              </w:rPr>
            </w:pPr>
            <w:r>
              <w:rPr>
                <w:sz w:val="21"/>
              </w:rPr>
              <w:t xml:space="preserve">4.5 </w:t>
            </w:r>
          </w:p>
        </w:tc>
        <w:tc>
          <w:tcPr>
            <w:tcW w:w="781" w:type="dxa"/>
            <w:tcBorders>
              <w:top w:val="single" w:color="000000" w:sz="6" w:space="0"/>
              <w:left w:val="single" w:color="000000" w:sz="4" w:space="0"/>
              <w:bottom w:val="single" w:color="000000" w:sz="6" w:space="0"/>
              <w:right w:val="single" w:color="000000" w:sz="4" w:space="0"/>
            </w:tcBorders>
          </w:tcPr>
          <w:p>
            <w:pPr>
              <w:pStyle w:val="8"/>
              <w:ind w:left="270" w:right="145"/>
              <w:rPr>
                <w:sz w:val="21"/>
              </w:rPr>
            </w:pPr>
            <w:r>
              <w:rPr>
                <w:sz w:val="21"/>
              </w:rPr>
              <w:t xml:space="preserve">3.5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3"/>
              <w:rPr>
                <w:sz w:val="21"/>
              </w:rPr>
            </w:pPr>
            <w:r>
              <w:rPr>
                <w:sz w:val="21"/>
              </w:rPr>
              <w:t xml:space="preserve">3 </w:t>
            </w:r>
          </w:p>
        </w:tc>
        <w:tc>
          <w:tcPr>
            <w:tcW w:w="780" w:type="dxa"/>
            <w:tcBorders>
              <w:top w:val="single" w:color="000000" w:sz="6" w:space="0"/>
              <w:left w:val="single" w:color="000000" w:sz="4" w:space="0"/>
              <w:bottom w:val="single" w:color="000000" w:sz="6" w:space="0"/>
              <w:right w:val="double" w:color="000000" w:sz="0" w:space="0"/>
            </w:tcBorders>
          </w:tcPr>
          <w:p>
            <w:pPr>
              <w:pStyle w:val="8"/>
              <w:ind w:left="342"/>
              <w:jc w:val="left"/>
              <w:rPr>
                <w:sz w:val="21"/>
              </w:rPr>
            </w:pPr>
            <w:r>
              <w:rPr>
                <w:sz w:val="21"/>
              </w:rPr>
              <w:t xml:space="preserve">3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1176-1550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20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16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12 </w:t>
            </w:r>
          </w:p>
        </w:tc>
        <w:tc>
          <w:tcPr>
            <w:tcW w:w="835" w:type="dxa"/>
            <w:tcBorders>
              <w:top w:val="single" w:color="000000" w:sz="6" w:space="0"/>
              <w:left w:val="single" w:color="000000" w:sz="4" w:space="0"/>
              <w:bottom w:val="single" w:color="000000" w:sz="6" w:space="0"/>
            </w:tcBorders>
          </w:tcPr>
          <w:p>
            <w:pPr>
              <w:pStyle w:val="8"/>
              <w:ind w:left="242" w:right="118"/>
              <w:rPr>
                <w:sz w:val="21"/>
              </w:rPr>
            </w:pPr>
            <w:r>
              <w:rPr>
                <w:sz w:val="21"/>
              </w:rPr>
              <w:t xml:space="preserve">7.5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ind w:right="210"/>
              <w:jc w:val="right"/>
              <w:rPr>
                <w:sz w:val="21"/>
              </w:rPr>
            </w:pPr>
            <w:r>
              <w:rPr>
                <w:sz w:val="21"/>
              </w:rPr>
              <w:t xml:space="preserve">16-25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42"/>
              <w:rPr>
                <w:sz w:val="21"/>
              </w:rPr>
            </w:pPr>
            <w:r>
              <w:rPr>
                <w:sz w:val="21"/>
              </w:rPr>
              <w:t xml:space="preserve">5.5 </w:t>
            </w:r>
          </w:p>
        </w:tc>
        <w:tc>
          <w:tcPr>
            <w:tcW w:w="781" w:type="dxa"/>
            <w:tcBorders>
              <w:top w:val="single" w:color="000000" w:sz="6" w:space="0"/>
              <w:left w:val="single" w:color="000000" w:sz="4" w:space="0"/>
              <w:bottom w:val="single" w:color="000000" w:sz="6" w:space="0"/>
              <w:right w:val="single" w:color="000000" w:sz="4" w:space="0"/>
            </w:tcBorders>
          </w:tcPr>
          <w:p>
            <w:pPr>
              <w:pStyle w:val="8"/>
              <w:ind w:left="270" w:right="145"/>
              <w:rPr>
                <w:sz w:val="21"/>
              </w:rPr>
            </w:pPr>
            <w:r>
              <w:rPr>
                <w:sz w:val="21"/>
              </w:rPr>
              <w:t xml:space="preserve">4.5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6"/>
              <w:rPr>
                <w:sz w:val="21"/>
              </w:rPr>
            </w:pPr>
            <w:r>
              <w:rPr>
                <w:sz w:val="21"/>
              </w:rPr>
              <w:t xml:space="preserve">3.5 </w:t>
            </w:r>
          </w:p>
        </w:tc>
        <w:tc>
          <w:tcPr>
            <w:tcW w:w="780" w:type="dxa"/>
            <w:tcBorders>
              <w:top w:val="single" w:color="000000" w:sz="6" w:space="0"/>
              <w:left w:val="single" w:color="000000" w:sz="4" w:space="0"/>
              <w:bottom w:val="single" w:color="000000" w:sz="6" w:space="0"/>
              <w:right w:val="double" w:color="000000" w:sz="0" w:space="0"/>
            </w:tcBorders>
          </w:tcPr>
          <w:p>
            <w:pPr>
              <w:pStyle w:val="8"/>
              <w:ind w:left="342"/>
              <w:jc w:val="left"/>
              <w:rPr>
                <w:sz w:val="21"/>
              </w:rPr>
            </w:pPr>
            <w:r>
              <w:rPr>
                <w:sz w:val="21"/>
              </w:rPr>
              <w:t xml:space="preserve">3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1551-2025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21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17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12 </w:t>
            </w:r>
          </w:p>
        </w:tc>
        <w:tc>
          <w:tcPr>
            <w:tcW w:w="835" w:type="dxa"/>
            <w:tcBorders>
              <w:top w:val="single" w:color="000000" w:sz="6" w:space="0"/>
              <w:left w:val="single" w:color="000000" w:sz="4" w:space="0"/>
              <w:bottom w:val="single" w:color="000000" w:sz="6" w:space="0"/>
            </w:tcBorders>
          </w:tcPr>
          <w:p>
            <w:pPr>
              <w:pStyle w:val="8"/>
              <w:ind w:left="239" w:right="118"/>
              <w:rPr>
                <w:sz w:val="21"/>
              </w:rPr>
            </w:pPr>
            <w:r>
              <w:rPr>
                <w:sz w:val="21"/>
              </w:rPr>
              <w:t xml:space="preserve">8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ind w:right="210"/>
              <w:jc w:val="right"/>
              <w:rPr>
                <w:sz w:val="21"/>
              </w:rPr>
            </w:pPr>
            <w:r>
              <w:rPr>
                <w:sz w:val="21"/>
              </w:rPr>
              <w:t xml:space="preserve">26-45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39"/>
              <w:rPr>
                <w:sz w:val="21"/>
              </w:rPr>
            </w:pPr>
            <w:r>
              <w:rPr>
                <w:sz w:val="21"/>
              </w:rPr>
              <w:t xml:space="preserve">7 </w:t>
            </w:r>
          </w:p>
        </w:tc>
        <w:tc>
          <w:tcPr>
            <w:tcW w:w="781" w:type="dxa"/>
            <w:tcBorders>
              <w:top w:val="single" w:color="000000" w:sz="6" w:space="0"/>
              <w:left w:val="single" w:color="000000" w:sz="4" w:space="0"/>
              <w:bottom w:val="single" w:color="000000" w:sz="6" w:space="0"/>
              <w:right w:val="single" w:color="000000" w:sz="4" w:space="0"/>
            </w:tcBorders>
          </w:tcPr>
          <w:p>
            <w:pPr>
              <w:pStyle w:val="8"/>
              <w:ind w:left="270" w:right="145"/>
              <w:rPr>
                <w:sz w:val="21"/>
              </w:rPr>
            </w:pPr>
            <w:r>
              <w:rPr>
                <w:sz w:val="21"/>
              </w:rPr>
              <w:t xml:space="preserve">5.5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3"/>
              <w:rPr>
                <w:sz w:val="21"/>
              </w:rPr>
            </w:pPr>
            <w:r>
              <w:rPr>
                <w:sz w:val="21"/>
              </w:rPr>
              <w:t xml:space="preserve">4 </w:t>
            </w:r>
          </w:p>
        </w:tc>
        <w:tc>
          <w:tcPr>
            <w:tcW w:w="780" w:type="dxa"/>
            <w:tcBorders>
              <w:top w:val="single" w:color="000000" w:sz="6" w:space="0"/>
              <w:left w:val="single" w:color="000000" w:sz="4" w:space="0"/>
              <w:bottom w:val="single" w:color="000000" w:sz="6" w:space="0"/>
              <w:right w:val="double" w:color="000000" w:sz="0" w:space="0"/>
            </w:tcBorders>
          </w:tcPr>
          <w:p>
            <w:pPr>
              <w:pStyle w:val="8"/>
              <w:ind w:left="342"/>
              <w:jc w:val="left"/>
              <w:rPr>
                <w:sz w:val="21"/>
              </w:rPr>
            </w:pPr>
            <w:r>
              <w:rPr>
                <w:sz w:val="21"/>
              </w:rPr>
              <w:t xml:space="preserve">3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2026-2675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23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18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13 </w:t>
            </w:r>
          </w:p>
        </w:tc>
        <w:tc>
          <w:tcPr>
            <w:tcW w:w="835" w:type="dxa"/>
            <w:tcBorders>
              <w:top w:val="single" w:color="000000" w:sz="6" w:space="0"/>
              <w:left w:val="single" w:color="000000" w:sz="4" w:space="0"/>
              <w:bottom w:val="single" w:color="000000" w:sz="6" w:space="0"/>
            </w:tcBorders>
          </w:tcPr>
          <w:p>
            <w:pPr>
              <w:pStyle w:val="8"/>
              <w:ind w:left="242" w:right="118"/>
              <w:rPr>
                <w:sz w:val="21"/>
              </w:rPr>
            </w:pPr>
            <w:r>
              <w:rPr>
                <w:sz w:val="21"/>
              </w:rPr>
              <w:t xml:space="preserve">8.5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ind w:right="210"/>
              <w:jc w:val="right"/>
              <w:rPr>
                <w:sz w:val="21"/>
              </w:rPr>
            </w:pPr>
            <w:r>
              <w:rPr>
                <w:sz w:val="21"/>
              </w:rPr>
              <w:t xml:space="preserve">46-65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39"/>
              <w:rPr>
                <w:sz w:val="21"/>
              </w:rPr>
            </w:pPr>
            <w:r>
              <w:rPr>
                <w:sz w:val="21"/>
              </w:rPr>
              <w:t xml:space="preserve">8 </w:t>
            </w:r>
          </w:p>
        </w:tc>
        <w:tc>
          <w:tcPr>
            <w:tcW w:w="781" w:type="dxa"/>
            <w:tcBorders>
              <w:top w:val="single" w:color="000000" w:sz="6" w:space="0"/>
              <w:left w:val="single" w:color="000000" w:sz="4" w:space="0"/>
              <w:bottom w:val="single" w:color="000000" w:sz="6" w:space="0"/>
              <w:right w:val="single" w:color="000000" w:sz="4" w:space="0"/>
            </w:tcBorders>
          </w:tcPr>
          <w:p>
            <w:pPr>
              <w:pStyle w:val="8"/>
              <w:ind w:left="268" w:right="145"/>
              <w:rPr>
                <w:sz w:val="21"/>
              </w:rPr>
            </w:pPr>
            <w:r>
              <w:rPr>
                <w:sz w:val="21"/>
              </w:rPr>
              <w:t xml:space="preserve">6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6"/>
              <w:rPr>
                <w:sz w:val="21"/>
              </w:rPr>
            </w:pPr>
            <w:r>
              <w:rPr>
                <w:sz w:val="21"/>
              </w:rPr>
              <w:t xml:space="preserve">4.5 </w:t>
            </w:r>
          </w:p>
        </w:tc>
        <w:tc>
          <w:tcPr>
            <w:tcW w:w="780" w:type="dxa"/>
            <w:tcBorders>
              <w:top w:val="single" w:color="000000" w:sz="6" w:space="0"/>
              <w:left w:val="single" w:color="000000" w:sz="4" w:space="0"/>
              <w:bottom w:val="single" w:color="000000" w:sz="6" w:space="0"/>
              <w:right w:val="double" w:color="000000" w:sz="0" w:space="0"/>
            </w:tcBorders>
          </w:tcPr>
          <w:p>
            <w:pPr>
              <w:pStyle w:val="8"/>
              <w:ind w:left="236"/>
              <w:jc w:val="left"/>
              <w:rPr>
                <w:sz w:val="21"/>
              </w:rPr>
            </w:pPr>
            <w:r>
              <w:rPr>
                <w:sz w:val="21"/>
              </w:rPr>
              <w:t xml:space="preserve">3.5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2676-3450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25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19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14 </w:t>
            </w:r>
          </w:p>
        </w:tc>
        <w:tc>
          <w:tcPr>
            <w:tcW w:w="835" w:type="dxa"/>
            <w:tcBorders>
              <w:top w:val="single" w:color="000000" w:sz="6" w:space="0"/>
              <w:left w:val="single" w:color="000000" w:sz="4" w:space="0"/>
              <w:bottom w:val="single" w:color="000000" w:sz="6" w:space="0"/>
            </w:tcBorders>
          </w:tcPr>
          <w:p>
            <w:pPr>
              <w:pStyle w:val="8"/>
              <w:ind w:left="239" w:right="118"/>
              <w:rPr>
                <w:sz w:val="21"/>
              </w:rPr>
            </w:pPr>
            <w:r>
              <w:rPr>
                <w:sz w:val="21"/>
              </w:rPr>
              <w:t xml:space="preserve">9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1202" w:type="dxa"/>
            <w:tcBorders>
              <w:top w:val="single" w:color="000000" w:sz="6" w:space="0"/>
              <w:bottom w:val="single" w:color="000000" w:sz="6" w:space="0"/>
              <w:right w:val="single" w:color="000000" w:sz="6" w:space="0"/>
            </w:tcBorders>
          </w:tcPr>
          <w:p>
            <w:pPr>
              <w:pStyle w:val="8"/>
              <w:ind w:right="210"/>
              <w:jc w:val="right"/>
              <w:rPr>
                <w:sz w:val="21"/>
              </w:rPr>
            </w:pPr>
            <w:r>
              <w:rPr>
                <w:sz w:val="21"/>
              </w:rPr>
              <w:t xml:space="preserve">66-85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39"/>
              <w:rPr>
                <w:sz w:val="21"/>
              </w:rPr>
            </w:pPr>
            <w:r>
              <w:rPr>
                <w:sz w:val="21"/>
              </w:rPr>
              <w:t xml:space="preserve">9 </w:t>
            </w:r>
          </w:p>
        </w:tc>
        <w:tc>
          <w:tcPr>
            <w:tcW w:w="781" w:type="dxa"/>
            <w:tcBorders>
              <w:top w:val="single" w:color="000000" w:sz="6" w:space="0"/>
              <w:left w:val="single" w:color="000000" w:sz="4" w:space="0"/>
              <w:bottom w:val="single" w:color="000000" w:sz="6" w:space="0"/>
              <w:right w:val="single" w:color="000000" w:sz="4" w:space="0"/>
            </w:tcBorders>
          </w:tcPr>
          <w:p>
            <w:pPr>
              <w:pStyle w:val="8"/>
              <w:ind w:left="268" w:right="145"/>
              <w:rPr>
                <w:sz w:val="21"/>
              </w:rPr>
            </w:pPr>
            <w:r>
              <w:rPr>
                <w:sz w:val="21"/>
              </w:rPr>
              <w:t xml:space="preserve">7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3"/>
              <w:rPr>
                <w:sz w:val="21"/>
              </w:rPr>
            </w:pPr>
            <w:r>
              <w:rPr>
                <w:sz w:val="21"/>
              </w:rPr>
              <w:t xml:space="preserve">5 </w:t>
            </w:r>
          </w:p>
        </w:tc>
        <w:tc>
          <w:tcPr>
            <w:tcW w:w="780" w:type="dxa"/>
            <w:tcBorders>
              <w:top w:val="single" w:color="000000" w:sz="6" w:space="0"/>
              <w:left w:val="single" w:color="000000" w:sz="4" w:space="0"/>
              <w:bottom w:val="single" w:color="000000" w:sz="6" w:space="0"/>
              <w:right w:val="double" w:color="000000" w:sz="0" w:space="0"/>
            </w:tcBorders>
          </w:tcPr>
          <w:p>
            <w:pPr>
              <w:pStyle w:val="8"/>
              <w:ind w:left="236"/>
              <w:jc w:val="left"/>
              <w:rPr>
                <w:sz w:val="21"/>
              </w:rPr>
            </w:pPr>
            <w:r>
              <w:rPr>
                <w:sz w:val="21"/>
              </w:rPr>
              <w:t xml:space="preserve">3.5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3451-4350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27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20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15 </w:t>
            </w:r>
          </w:p>
        </w:tc>
        <w:tc>
          <w:tcPr>
            <w:tcW w:w="835" w:type="dxa"/>
            <w:tcBorders>
              <w:top w:val="single" w:color="000000" w:sz="6" w:space="0"/>
              <w:left w:val="single" w:color="000000" w:sz="4" w:space="0"/>
              <w:bottom w:val="single" w:color="000000" w:sz="6" w:space="0"/>
            </w:tcBorders>
          </w:tcPr>
          <w:p>
            <w:pPr>
              <w:pStyle w:val="8"/>
              <w:ind w:left="239" w:right="118"/>
              <w:rPr>
                <w:sz w:val="21"/>
              </w:rPr>
            </w:pPr>
            <w:r>
              <w:rPr>
                <w:sz w:val="21"/>
              </w:rPr>
              <w:t xml:space="preserve">10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spacing w:before="125"/>
              <w:ind w:right="158"/>
              <w:jc w:val="right"/>
              <w:rPr>
                <w:sz w:val="21"/>
              </w:rPr>
            </w:pPr>
            <w:r>
              <w:rPr>
                <w:sz w:val="21"/>
              </w:rPr>
              <w:t xml:space="preserve">86-125 </w:t>
            </w:r>
          </w:p>
        </w:tc>
        <w:tc>
          <w:tcPr>
            <w:tcW w:w="780" w:type="dxa"/>
            <w:tcBorders>
              <w:top w:val="single" w:color="000000" w:sz="6" w:space="0"/>
              <w:left w:val="single" w:color="000000" w:sz="6" w:space="0"/>
              <w:bottom w:val="single" w:color="000000" w:sz="6" w:space="0"/>
              <w:right w:val="single" w:color="000000" w:sz="4" w:space="0"/>
            </w:tcBorders>
          </w:tcPr>
          <w:p>
            <w:pPr>
              <w:pStyle w:val="8"/>
              <w:spacing w:before="125"/>
              <w:ind w:left="269" w:right="139"/>
              <w:rPr>
                <w:sz w:val="21"/>
              </w:rPr>
            </w:pPr>
            <w:r>
              <w:rPr>
                <w:sz w:val="21"/>
              </w:rPr>
              <w:t xml:space="preserve">11 </w:t>
            </w:r>
          </w:p>
        </w:tc>
        <w:tc>
          <w:tcPr>
            <w:tcW w:w="781" w:type="dxa"/>
            <w:tcBorders>
              <w:top w:val="single" w:color="000000" w:sz="6" w:space="0"/>
              <w:left w:val="single" w:color="000000" w:sz="4" w:space="0"/>
              <w:bottom w:val="single" w:color="000000" w:sz="6" w:space="0"/>
              <w:right w:val="single" w:color="000000" w:sz="4" w:space="0"/>
            </w:tcBorders>
          </w:tcPr>
          <w:p>
            <w:pPr>
              <w:pStyle w:val="8"/>
              <w:spacing w:before="125"/>
              <w:ind w:left="268" w:right="145"/>
              <w:rPr>
                <w:sz w:val="21"/>
              </w:rPr>
            </w:pPr>
            <w:r>
              <w:rPr>
                <w:sz w:val="21"/>
              </w:rPr>
              <w:t xml:space="preserve">8 </w:t>
            </w:r>
          </w:p>
        </w:tc>
        <w:tc>
          <w:tcPr>
            <w:tcW w:w="778" w:type="dxa"/>
            <w:tcBorders>
              <w:top w:val="single" w:color="000000" w:sz="6" w:space="0"/>
              <w:left w:val="single" w:color="000000" w:sz="4" w:space="0"/>
              <w:bottom w:val="single" w:color="000000" w:sz="6" w:space="0"/>
              <w:right w:val="single" w:color="000000" w:sz="4" w:space="0"/>
            </w:tcBorders>
          </w:tcPr>
          <w:p>
            <w:pPr>
              <w:pStyle w:val="8"/>
              <w:spacing w:before="125"/>
              <w:ind w:left="267" w:right="146"/>
              <w:rPr>
                <w:sz w:val="21"/>
              </w:rPr>
            </w:pPr>
            <w:r>
              <w:rPr>
                <w:sz w:val="21"/>
              </w:rPr>
              <w:t xml:space="preserve">5.5 </w:t>
            </w:r>
          </w:p>
        </w:tc>
        <w:tc>
          <w:tcPr>
            <w:tcW w:w="780" w:type="dxa"/>
            <w:tcBorders>
              <w:top w:val="single" w:color="000000" w:sz="6" w:space="0"/>
              <w:left w:val="single" w:color="000000" w:sz="4" w:space="0"/>
              <w:bottom w:val="single" w:color="000000" w:sz="6" w:space="0"/>
              <w:right w:val="double" w:color="000000" w:sz="0" w:space="0"/>
            </w:tcBorders>
          </w:tcPr>
          <w:p>
            <w:pPr>
              <w:pStyle w:val="8"/>
              <w:spacing w:before="125"/>
              <w:ind w:left="342"/>
              <w:jc w:val="left"/>
              <w:rPr>
                <w:sz w:val="21"/>
              </w:rPr>
            </w:pPr>
            <w:r>
              <w:rPr>
                <w:sz w:val="21"/>
              </w:rPr>
              <w:t xml:space="preserve">4 </w:t>
            </w:r>
          </w:p>
        </w:tc>
        <w:tc>
          <w:tcPr>
            <w:tcW w:w="1419" w:type="dxa"/>
            <w:tcBorders>
              <w:top w:val="single" w:color="000000" w:sz="6" w:space="0"/>
              <w:left w:val="double" w:color="000000" w:sz="0" w:space="0"/>
              <w:bottom w:val="single" w:color="000000" w:sz="6" w:space="0"/>
              <w:right w:val="single" w:color="000000" w:sz="6" w:space="0"/>
            </w:tcBorders>
          </w:tcPr>
          <w:p>
            <w:pPr>
              <w:pStyle w:val="8"/>
              <w:spacing w:before="125"/>
              <w:ind w:left="220" w:right="94"/>
              <w:rPr>
                <w:sz w:val="21"/>
              </w:rPr>
            </w:pPr>
            <w:r>
              <w:rPr>
                <w:sz w:val="21"/>
              </w:rPr>
              <w:t xml:space="preserve">4351-5450 </w:t>
            </w:r>
          </w:p>
        </w:tc>
        <w:tc>
          <w:tcPr>
            <w:tcW w:w="833" w:type="dxa"/>
            <w:tcBorders>
              <w:top w:val="single" w:color="000000" w:sz="6" w:space="0"/>
              <w:left w:val="single" w:color="000000" w:sz="6" w:space="0"/>
              <w:bottom w:val="single" w:color="000000" w:sz="6" w:space="0"/>
              <w:right w:val="single" w:color="000000" w:sz="4" w:space="0"/>
            </w:tcBorders>
          </w:tcPr>
          <w:p>
            <w:pPr>
              <w:pStyle w:val="8"/>
              <w:spacing w:before="125"/>
              <w:ind w:right="185"/>
              <w:jc w:val="right"/>
              <w:rPr>
                <w:sz w:val="21"/>
              </w:rPr>
            </w:pPr>
            <w:r>
              <w:rPr>
                <w:sz w:val="21"/>
              </w:rPr>
              <w:t xml:space="preserve">28 </w:t>
            </w:r>
          </w:p>
        </w:tc>
        <w:tc>
          <w:tcPr>
            <w:tcW w:w="834" w:type="dxa"/>
            <w:tcBorders>
              <w:top w:val="single" w:color="000000" w:sz="6" w:space="0"/>
              <w:left w:val="single" w:color="000000" w:sz="4" w:space="0"/>
              <w:bottom w:val="single" w:color="000000" w:sz="6" w:space="0"/>
              <w:right w:val="single" w:color="000000" w:sz="4" w:space="0"/>
            </w:tcBorders>
          </w:tcPr>
          <w:p>
            <w:pPr>
              <w:pStyle w:val="8"/>
              <w:spacing w:before="125"/>
              <w:ind w:right="189"/>
              <w:jc w:val="right"/>
              <w:rPr>
                <w:sz w:val="21"/>
              </w:rPr>
            </w:pPr>
            <w:r>
              <w:rPr>
                <w:sz w:val="21"/>
              </w:rPr>
              <w:t xml:space="preserve">21 </w:t>
            </w:r>
          </w:p>
        </w:tc>
        <w:tc>
          <w:tcPr>
            <w:tcW w:w="833" w:type="dxa"/>
            <w:tcBorders>
              <w:top w:val="single" w:color="000000" w:sz="6" w:space="0"/>
              <w:left w:val="single" w:color="000000" w:sz="4" w:space="0"/>
              <w:bottom w:val="single" w:color="000000" w:sz="6" w:space="0"/>
              <w:right w:val="single" w:color="000000" w:sz="4" w:space="0"/>
            </w:tcBorders>
          </w:tcPr>
          <w:p>
            <w:pPr>
              <w:pStyle w:val="8"/>
              <w:spacing w:before="125"/>
              <w:ind w:right="189"/>
              <w:jc w:val="right"/>
              <w:rPr>
                <w:sz w:val="21"/>
              </w:rPr>
            </w:pPr>
            <w:r>
              <w:rPr>
                <w:sz w:val="21"/>
              </w:rPr>
              <w:t xml:space="preserve">16 </w:t>
            </w:r>
          </w:p>
        </w:tc>
        <w:tc>
          <w:tcPr>
            <w:tcW w:w="835" w:type="dxa"/>
            <w:tcBorders>
              <w:top w:val="single" w:color="000000" w:sz="6" w:space="0"/>
              <w:left w:val="single" w:color="000000" w:sz="4" w:space="0"/>
              <w:bottom w:val="single" w:color="000000" w:sz="6" w:space="0"/>
            </w:tcBorders>
          </w:tcPr>
          <w:p>
            <w:pPr>
              <w:pStyle w:val="8"/>
              <w:spacing w:before="125"/>
              <w:ind w:left="239" w:right="118"/>
              <w:rPr>
                <w:sz w:val="21"/>
              </w:rPr>
            </w:pPr>
            <w:r>
              <w:rPr>
                <w:sz w:val="21"/>
              </w:rPr>
              <w:t xml:space="preserve">11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spacing w:before="125"/>
              <w:ind w:right="107"/>
              <w:jc w:val="right"/>
              <w:rPr>
                <w:sz w:val="21"/>
              </w:rPr>
            </w:pPr>
            <w:r>
              <w:rPr>
                <w:sz w:val="21"/>
              </w:rPr>
              <w:t xml:space="preserve">126-175 </w:t>
            </w:r>
          </w:p>
        </w:tc>
        <w:tc>
          <w:tcPr>
            <w:tcW w:w="780" w:type="dxa"/>
            <w:tcBorders>
              <w:top w:val="single" w:color="000000" w:sz="6" w:space="0"/>
              <w:left w:val="single" w:color="000000" w:sz="6" w:space="0"/>
              <w:bottom w:val="single" w:color="000000" w:sz="6" w:space="0"/>
              <w:right w:val="single" w:color="000000" w:sz="4" w:space="0"/>
            </w:tcBorders>
          </w:tcPr>
          <w:p>
            <w:pPr>
              <w:pStyle w:val="8"/>
              <w:spacing w:before="125"/>
              <w:ind w:left="269" w:right="139"/>
              <w:rPr>
                <w:sz w:val="21"/>
              </w:rPr>
            </w:pPr>
            <w:r>
              <w:rPr>
                <w:sz w:val="21"/>
              </w:rPr>
              <w:t xml:space="preserve">12 </w:t>
            </w:r>
          </w:p>
        </w:tc>
        <w:tc>
          <w:tcPr>
            <w:tcW w:w="781" w:type="dxa"/>
            <w:tcBorders>
              <w:top w:val="single" w:color="000000" w:sz="6" w:space="0"/>
              <w:left w:val="single" w:color="000000" w:sz="4" w:space="0"/>
              <w:bottom w:val="single" w:color="000000" w:sz="6" w:space="0"/>
              <w:right w:val="single" w:color="000000" w:sz="4" w:space="0"/>
            </w:tcBorders>
          </w:tcPr>
          <w:p>
            <w:pPr>
              <w:pStyle w:val="8"/>
              <w:spacing w:before="125"/>
              <w:ind w:left="268" w:right="145"/>
              <w:rPr>
                <w:sz w:val="21"/>
              </w:rPr>
            </w:pPr>
            <w:r>
              <w:rPr>
                <w:sz w:val="21"/>
              </w:rPr>
              <w:t xml:space="preserve">9 </w:t>
            </w:r>
          </w:p>
        </w:tc>
        <w:tc>
          <w:tcPr>
            <w:tcW w:w="778" w:type="dxa"/>
            <w:tcBorders>
              <w:top w:val="single" w:color="000000" w:sz="6" w:space="0"/>
              <w:left w:val="single" w:color="000000" w:sz="4" w:space="0"/>
              <w:bottom w:val="single" w:color="000000" w:sz="6" w:space="0"/>
              <w:right w:val="single" w:color="000000" w:sz="4" w:space="0"/>
            </w:tcBorders>
          </w:tcPr>
          <w:p>
            <w:pPr>
              <w:pStyle w:val="8"/>
              <w:spacing w:before="125"/>
              <w:ind w:left="267" w:right="143"/>
              <w:rPr>
                <w:sz w:val="21"/>
              </w:rPr>
            </w:pPr>
            <w:r>
              <w:rPr>
                <w:sz w:val="21"/>
              </w:rPr>
              <w:t xml:space="preserve">6 </w:t>
            </w:r>
          </w:p>
        </w:tc>
        <w:tc>
          <w:tcPr>
            <w:tcW w:w="780" w:type="dxa"/>
            <w:tcBorders>
              <w:top w:val="single" w:color="000000" w:sz="6" w:space="0"/>
              <w:left w:val="single" w:color="000000" w:sz="4" w:space="0"/>
              <w:bottom w:val="single" w:color="000000" w:sz="6" w:space="0"/>
              <w:right w:val="double" w:color="000000" w:sz="0" w:space="0"/>
            </w:tcBorders>
          </w:tcPr>
          <w:p>
            <w:pPr>
              <w:pStyle w:val="8"/>
              <w:spacing w:before="125"/>
              <w:ind w:left="236"/>
              <w:jc w:val="left"/>
              <w:rPr>
                <w:sz w:val="21"/>
              </w:rPr>
            </w:pPr>
            <w:r>
              <w:rPr>
                <w:sz w:val="21"/>
              </w:rPr>
              <w:t xml:space="preserve">4.5 </w:t>
            </w:r>
          </w:p>
        </w:tc>
        <w:tc>
          <w:tcPr>
            <w:tcW w:w="1419" w:type="dxa"/>
            <w:tcBorders>
              <w:top w:val="single" w:color="000000" w:sz="6" w:space="0"/>
              <w:left w:val="double" w:color="000000" w:sz="0" w:space="0"/>
              <w:bottom w:val="single" w:color="000000" w:sz="6" w:space="0"/>
              <w:right w:val="single" w:color="000000" w:sz="6" w:space="0"/>
            </w:tcBorders>
          </w:tcPr>
          <w:p>
            <w:pPr>
              <w:pStyle w:val="8"/>
              <w:spacing w:before="125"/>
              <w:ind w:left="220" w:right="94"/>
              <w:rPr>
                <w:sz w:val="21"/>
              </w:rPr>
            </w:pPr>
            <w:r>
              <w:rPr>
                <w:sz w:val="21"/>
              </w:rPr>
              <w:t xml:space="preserve">5451-6800 </w:t>
            </w:r>
          </w:p>
        </w:tc>
        <w:tc>
          <w:tcPr>
            <w:tcW w:w="833" w:type="dxa"/>
            <w:tcBorders>
              <w:top w:val="single" w:color="000000" w:sz="6" w:space="0"/>
              <w:left w:val="single" w:color="000000" w:sz="6" w:space="0"/>
              <w:bottom w:val="single" w:color="000000" w:sz="6" w:space="0"/>
              <w:right w:val="single" w:color="000000" w:sz="4" w:space="0"/>
            </w:tcBorders>
          </w:tcPr>
          <w:p>
            <w:pPr>
              <w:pStyle w:val="8"/>
              <w:spacing w:before="125"/>
              <w:ind w:right="185"/>
              <w:jc w:val="right"/>
              <w:rPr>
                <w:sz w:val="21"/>
              </w:rPr>
            </w:pPr>
            <w:r>
              <w:rPr>
                <w:sz w:val="21"/>
              </w:rPr>
              <w:t xml:space="preserve">30 </w:t>
            </w:r>
          </w:p>
        </w:tc>
        <w:tc>
          <w:tcPr>
            <w:tcW w:w="834" w:type="dxa"/>
            <w:tcBorders>
              <w:top w:val="single" w:color="000000" w:sz="6" w:space="0"/>
              <w:left w:val="single" w:color="000000" w:sz="4" w:space="0"/>
              <w:bottom w:val="single" w:color="000000" w:sz="6" w:space="0"/>
              <w:right w:val="single" w:color="000000" w:sz="4" w:space="0"/>
            </w:tcBorders>
          </w:tcPr>
          <w:p>
            <w:pPr>
              <w:pStyle w:val="8"/>
              <w:spacing w:before="125"/>
              <w:ind w:right="189"/>
              <w:jc w:val="right"/>
              <w:rPr>
                <w:sz w:val="21"/>
              </w:rPr>
            </w:pPr>
            <w:r>
              <w:rPr>
                <w:sz w:val="21"/>
              </w:rPr>
              <w:t xml:space="preserve">23 </w:t>
            </w:r>
          </w:p>
        </w:tc>
        <w:tc>
          <w:tcPr>
            <w:tcW w:w="833" w:type="dxa"/>
            <w:tcBorders>
              <w:top w:val="single" w:color="000000" w:sz="6" w:space="0"/>
              <w:left w:val="single" w:color="000000" w:sz="4" w:space="0"/>
              <w:bottom w:val="single" w:color="000000" w:sz="6" w:space="0"/>
              <w:right w:val="single" w:color="000000" w:sz="4" w:space="0"/>
            </w:tcBorders>
          </w:tcPr>
          <w:p>
            <w:pPr>
              <w:pStyle w:val="8"/>
              <w:spacing w:before="125"/>
              <w:ind w:right="189"/>
              <w:jc w:val="right"/>
              <w:rPr>
                <w:sz w:val="21"/>
              </w:rPr>
            </w:pPr>
            <w:r>
              <w:rPr>
                <w:sz w:val="21"/>
              </w:rPr>
              <w:t xml:space="preserve">17 </w:t>
            </w:r>
          </w:p>
        </w:tc>
        <w:tc>
          <w:tcPr>
            <w:tcW w:w="835" w:type="dxa"/>
            <w:tcBorders>
              <w:top w:val="single" w:color="000000" w:sz="6" w:space="0"/>
              <w:left w:val="single" w:color="000000" w:sz="4" w:space="0"/>
              <w:bottom w:val="single" w:color="000000" w:sz="6" w:space="0"/>
            </w:tcBorders>
          </w:tcPr>
          <w:p>
            <w:pPr>
              <w:pStyle w:val="8"/>
              <w:spacing w:before="125"/>
              <w:ind w:left="239" w:right="118"/>
              <w:rPr>
                <w:sz w:val="21"/>
              </w:rPr>
            </w:pPr>
            <w:r>
              <w:rPr>
                <w:sz w:val="21"/>
              </w:rPr>
              <w:t xml:space="preserve">12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spacing w:before="125"/>
              <w:ind w:right="107"/>
              <w:jc w:val="right"/>
              <w:rPr>
                <w:sz w:val="21"/>
              </w:rPr>
            </w:pPr>
            <w:r>
              <w:rPr>
                <w:sz w:val="21"/>
              </w:rPr>
              <w:t xml:space="preserve">176-275 </w:t>
            </w:r>
          </w:p>
        </w:tc>
        <w:tc>
          <w:tcPr>
            <w:tcW w:w="780" w:type="dxa"/>
            <w:tcBorders>
              <w:top w:val="single" w:color="000000" w:sz="6" w:space="0"/>
              <w:left w:val="single" w:color="000000" w:sz="6" w:space="0"/>
              <w:bottom w:val="single" w:color="000000" w:sz="6" w:space="0"/>
              <w:right w:val="single" w:color="000000" w:sz="4" w:space="0"/>
            </w:tcBorders>
          </w:tcPr>
          <w:p>
            <w:pPr>
              <w:pStyle w:val="8"/>
              <w:spacing w:before="125"/>
              <w:ind w:left="269" w:right="139"/>
              <w:rPr>
                <w:sz w:val="21"/>
              </w:rPr>
            </w:pPr>
            <w:r>
              <w:rPr>
                <w:sz w:val="21"/>
              </w:rPr>
              <w:t xml:space="preserve">13 </w:t>
            </w:r>
          </w:p>
        </w:tc>
        <w:tc>
          <w:tcPr>
            <w:tcW w:w="781" w:type="dxa"/>
            <w:tcBorders>
              <w:top w:val="single" w:color="000000" w:sz="6" w:space="0"/>
              <w:left w:val="single" w:color="000000" w:sz="4" w:space="0"/>
              <w:bottom w:val="single" w:color="000000" w:sz="6" w:space="0"/>
              <w:right w:val="single" w:color="000000" w:sz="4" w:space="0"/>
            </w:tcBorders>
          </w:tcPr>
          <w:p>
            <w:pPr>
              <w:pStyle w:val="8"/>
              <w:spacing w:before="125"/>
              <w:ind w:left="268" w:right="145"/>
              <w:rPr>
                <w:sz w:val="21"/>
              </w:rPr>
            </w:pPr>
            <w:r>
              <w:rPr>
                <w:sz w:val="21"/>
              </w:rPr>
              <w:t xml:space="preserve">10 </w:t>
            </w:r>
          </w:p>
        </w:tc>
        <w:tc>
          <w:tcPr>
            <w:tcW w:w="778" w:type="dxa"/>
            <w:tcBorders>
              <w:top w:val="single" w:color="000000" w:sz="6" w:space="0"/>
              <w:left w:val="single" w:color="000000" w:sz="4" w:space="0"/>
              <w:bottom w:val="single" w:color="000000" w:sz="6" w:space="0"/>
              <w:right w:val="single" w:color="000000" w:sz="4" w:space="0"/>
            </w:tcBorders>
          </w:tcPr>
          <w:p>
            <w:pPr>
              <w:pStyle w:val="8"/>
              <w:spacing w:before="125"/>
              <w:ind w:left="267" w:right="143"/>
              <w:rPr>
                <w:sz w:val="21"/>
              </w:rPr>
            </w:pPr>
            <w:r>
              <w:rPr>
                <w:sz w:val="21"/>
              </w:rPr>
              <w:t xml:space="preserve">7 </w:t>
            </w:r>
          </w:p>
        </w:tc>
        <w:tc>
          <w:tcPr>
            <w:tcW w:w="780" w:type="dxa"/>
            <w:tcBorders>
              <w:top w:val="single" w:color="000000" w:sz="6" w:space="0"/>
              <w:left w:val="single" w:color="000000" w:sz="4" w:space="0"/>
              <w:bottom w:val="single" w:color="000000" w:sz="6" w:space="0"/>
              <w:right w:val="double" w:color="000000" w:sz="0" w:space="0"/>
            </w:tcBorders>
          </w:tcPr>
          <w:p>
            <w:pPr>
              <w:pStyle w:val="8"/>
              <w:spacing w:before="125"/>
              <w:ind w:left="342"/>
              <w:jc w:val="left"/>
              <w:rPr>
                <w:sz w:val="21"/>
              </w:rPr>
            </w:pPr>
            <w:r>
              <w:rPr>
                <w:sz w:val="21"/>
              </w:rPr>
              <w:t xml:space="preserve">5 </w:t>
            </w:r>
          </w:p>
        </w:tc>
        <w:tc>
          <w:tcPr>
            <w:tcW w:w="1419" w:type="dxa"/>
            <w:tcBorders>
              <w:top w:val="single" w:color="000000" w:sz="6" w:space="0"/>
              <w:left w:val="double" w:color="000000" w:sz="0" w:space="0"/>
              <w:bottom w:val="single" w:color="000000" w:sz="6" w:space="0"/>
              <w:right w:val="single" w:color="000000" w:sz="6" w:space="0"/>
            </w:tcBorders>
          </w:tcPr>
          <w:p>
            <w:pPr>
              <w:pStyle w:val="8"/>
              <w:spacing w:before="125"/>
              <w:ind w:left="220" w:right="94"/>
              <w:rPr>
                <w:sz w:val="21"/>
              </w:rPr>
            </w:pPr>
            <w:r>
              <w:rPr>
                <w:sz w:val="21"/>
              </w:rPr>
              <w:t xml:space="preserve">6801-8500 </w:t>
            </w:r>
          </w:p>
        </w:tc>
        <w:tc>
          <w:tcPr>
            <w:tcW w:w="833" w:type="dxa"/>
            <w:tcBorders>
              <w:top w:val="single" w:color="000000" w:sz="6" w:space="0"/>
              <w:left w:val="single" w:color="000000" w:sz="6" w:space="0"/>
              <w:bottom w:val="single" w:color="000000" w:sz="6" w:space="0"/>
              <w:right w:val="single" w:color="000000" w:sz="4" w:space="0"/>
            </w:tcBorders>
          </w:tcPr>
          <w:p>
            <w:pPr>
              <w:pStyle w:val="8"/>
              <w:spacing w:before="125"/>
              <w:ind w:right="185"/>
              <w:jc w:val="right"/>
              <w:rPr>
                <w:sz w:val="21"/>
              </w:rPr>
            </w:pPr>
            <w:r>
              <w:rPr>
                <w:sz w:val="21"/>
              </w:rPr>
              <w:t xml:space="preserve">32 </w:t>
            </w:r>
          </w:p>
        </w:tc>
        <w:tc>
          <w:tcPr>
            <w:tcW w:w="834" w:type="dxa"/>
            <w:tcBorders>
              <w:top w:val="single" w:color="000000" w:sz="6" w:space="0"/>
              <w:left w:val="single" w:color="000000" w:sz="4" w:space="0"/>
              <w:bottom w:val="single" w:color="000000" w:sz="6" w:space="0"/>
              <w:right w:val="single" w:color="000000" w:sz="4" w:space="0"/>
            </w:tcBorders>
          </w:tcPr>
          <w:p>
            <w:pPr>
              <w:pStyle w:val="8"/>
              <w:spacing w:before="125"/>
              <w:ind w:right="189"/>
              <w:jc w:val="right"/>
              <w:rPr>
                <w:sz w:val="21"/>
              </w:rPr>
            </w:pPr>
            <w:r>
              <w:rPr>
                <w:sz w:val="21"/>
              </w:rPr>
              <w:t xml:space="preserve">25 </w:t>
            </w:r>
          </w:p>
        </w:tc>
        <w:tc>
          <w:tcPr>
            <w:tcW w:w="833" w:type="dxa"/>
            <w:tcBorders>
              <w:top w:val="single" w:color="000000" w:sz="6" w:space="0"/>
              <w:left w:val="single" w:color="000000" w:sz="4" w:space="0"/>
              <w:bottom w:val="single" w:color="000000" w:sz="6" w:space="0"/>
              <w:right w:val="single" w:color="000000" w:sz="4" w:space="0"/>
            </w:tcBorders>
          </w:tcPr>
          <w:p>
            <w:pPr>
              <w:pStyle w:val="8"/>
              <w:spacing w:before="125"/>
              <w:ind w:right="189"/>
              <w:jc w:val="right"/>
              <w:rPr>
                <w:sz w:val="21"/>
              </w:rPr>
            </w:pPr>
            <w:r>
              <w:rPr>
                <w:sz w:val="21"/>
              </w:rPr>
              <w:t xml:space="preserve">19 </w:t>
            </w:r>
          </w:p>
        </w:tc>
        <w:tc>
          <w:tcPr>
            <w:tcW w:w="835" w:type="dxa"/>
            <w:tcBorders>
              <w:top w:val="single" w:color="000000" w:sz="6" w:space="0"/>
              <w:left w:val="single" w:color="000000" w:sz="4" w:space="0"/>
              <w:bottom w:val="single" w:color="000000" w:sz="6" w:space="0"/>
            </w:tcBorders>
          </w:tcPr>
          <w:p>
            <w:pPr>
              <w:pStyle w:val="8"/>
              <w:spacing w:before="125"/>
              <w:ind w:left="239" w:right="118"/>
              <w:rPr>
                <w:sz w:val="21"/>
              </w:rPr>
            </w:pPr>
            <w:r>
              <w:rPr>
                <w:sz w:val="21"/>
              </w:rPr>
              <w:t xml:space="preserve">13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bottom w:val="single" w:color="000000" w:sz="6" w:space="0"/>
              <w:right w:val="single" w:color="000000" w:sz="6" w:space="0"/>
            </w:tcBorders>
          </w:tcPr>
          <w:p>
            <w:pPr>
              <w:pStyle w:val="8"/>
              <w:ind w:right="107"/>
              <w:jc w:val="right"/>
              <w:rPr>
                <w:sz w:val="21"/>
              </w:rPr>
            </w:pPr>
            <w:r>
              <w:rPr>
                <w:sz w:val="21"/>
              </w:rPr>
              <w:t xml:space="preserve">276-425 </w:t>
            </w:r>
          </w:p>
        </w:tc>
        <w:tc>
          <w:tcPr>
            <w:tcW w:w="780" w:type="dxa"/>
            <w:tcBorders>
              <w:top w:val="single" w:color="000000" w:sz="6" w:space="0"/>
              <w:left w:val="single" w:color="000000" w:sz="6" w:space="0"/>
              <w:bottom w:val="single" w:color="000000" w:sz="6" w:space="0"/>
              <w:right w:val="single" w:color="000000" w:sz="4" w:space="0"/>
            </w:tcBorders>
          </w:tcPr>
          <w:p>
            <w:pPr>
              <w:pStyle w:val="8"/>
              <w:ind w:left="269" w:right="139"/>
              <w:rPr>
                <w:sz w:val="21"/>
              </w:rPr>
            </w:pPr>
            <w:r>
              <w:rPr>
                <w:sz w:val="21"/>
              </w:rPr>
              <w:t xml:space="preserve">15 </w:t>
            </w:r>
          </w:p>
        </w:tc>
        <w:tc>
          <w:tcPr>
            <w:tcW w:w="781" w:type="dxa"/>
            <w:tcBorders>
              <w:top w:val="single" w:color="000000" w:sz="6" w:space="0"/>
              <w:left w:val="single" w:color="000000" w:sz="4" w:space="0"/>
              <w:bottom w:val="single" w:color="000000" w:sz="6" w:space="0"/>
              <w:right w:val="single" w:color="000000" w:sz="4" w:space="0"/>
            </w:tcBorders>
          </w:tcPr>
          <w:p>
            <w:pPr>
              <w:pStyle w:val="8"/>
              <w:ind w:left="268" w:right="145"/>
              <w:rPr>
                <w:sz w:val="21"/>
              </w:rPr>
            </w:pPr>
            <w:r>
              <w:rPr>
                <w:sz w:val="21"/>
              </w:rPr>
              <w:t xml:space="preserve">11 </w:t>
            </w:r>
          </w:p>
        </w:tc>
        <w:tc>
          <w:tcPr>
            <w:tcW w:w="778" w:type="dxa"/>
            <w:tcBorders>
              <w:top w:val="single" w:color="000000" w:sz="6" w:space="0"/>
              <w:left w:val="single" w:color="000000" w:sz="4" w:space="0"/>
              <w:bottom w:val="single" w:color="000000" w:sz="6" w:space="0"/>
              <w:right w:val="single" w:color="000000" w:sz="4" w:space="0"/>
            </w:tcBorders>
          </w:tcPr>
          <w:p>
            <w:pPr>
              <w:pStyle w:val="8"/>
              <w:ind w:left="267" w:right="143"/>
              <w:rPr>
                <w:sz w:val="21"/>
              </w:rPr>
            </w:pPr>
            <w:r>
              <w:rPr>
                <w:sz w:val="21"/>
              </w:rPr>
              <w:t xml:space="preserve">8 </w:t>
            </w:r>
          </w:p>
        </w:tc>
        <w:tc>
          <w:tcPr>
            <w:tcW w:w="780" w:type="dxa"/>
            <w:tcBorders>
              <w:top w:val="single" w:color="000000" w:sz="6" w:space="0"/>
              <w:left w:val="single" w:color="000000" w:sz="4" w:space="0"/>
              <w:bottom w:val="single" w:color="000000" w:sz="6" w:space="0"/>
              <w:right w:val="double" w:color="000000" w:sz="0" w:space="0"/>
            </w:tcBorders>
          </w:tcPr>
          <w:p>
            <w:pPr>
              <w:pStyle w:val="8"/>
              <w:ind w:left="236"/>
              <w:jc w:val="left"/>
              <w:rPr>
                <w:sz w:val="21"/>
              </w:rPr>
            </w:pPr>
            <w:r>
              <w:rPr>
                <w:sz w:val="21"/>
              </w:rPr>
              <w:t xml:space="preserve">5.5 </w:t>
            </w:r>
          </w:p>
        </w:tc>
        <w:tc>
          <w:tcPr>
            <w:tcW w:w="1419" w:type="dxa"/>
            <w:tcBorders>
              <w:top w:val="single" w:color="000000" w:sz="6" w:space="0"/>
              <w:left w:val="double" w:color="000000" w:sz="0" w:space="0"/>
              <w:bottom w:val="single" w:color="000000" w:sz="6" w:space="0"/>
              <w:right w:val="single" w:color="000000" w:sz="6" w:space="0"/>
            </w:tcBorders>
          </w:tcPr>
          <w:p>
            <w:pPr>
              <w:pStyle w:val="8"/>
              <w:ind w:left="220" w:right="94"/>
              <w:rPr>
                <w:sz w:val="21"/>
              </w:rPr>
            </w:pPr>
            <w:r>
              <w:rPr>
                <w:sz w:val="21"/>
              </w:rPr>
              <w:t xml:space="preserve">8501-10700 </w:t>
            </w:r>
          </w:p>
        </w:tc>
        <w:tc>
          <w:tcPr>
            <w:tcW w:w="833" w:type="dxa"/>
            <w:tcBorders>
              <w:top w:val="single" w:color="000000" w:sz="6" w:space="0"/>
              <w:left w:val="single" w:color="000000" w:sz="6" w:space="0"/>
              <w:bottom w:val="single" w:color="000000" w:sz="6" w:space="0"/>
              <w:right w:val="single" w:color="000000" w:sz="4" w:space="0"/>
            </w:tcBorders>
          </w:tcPr>
          <w:p>
            <w:pPr>
              <w:pStyle w:val="8"/>
              <w:ind w:right="185"/>
              <w:jc w:val="right"/>
              <w:rPr>
                <w:sz w:val="21"/>
              </w:rPr>
            </w:pPr>
            <w:r>
              <w:rPr>
                <w:sz w:val="21"/>
              </w:rPr>
              <w:t xml:space="preserve">34 </w:t>
            </w:r>
          </w:p>
        </w:tc>
        <w:tc>
          <w:tcPr>
            <w:tcW w:w="834"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27 </w:t>
            </w:r>
          </w:p>
        </w:tc>
        <w:tc>
          <w:tcPr>
            <w:tcW w:w="833" w:type="dxa"/>
            <w:tcBorders>
              <w:top w:val="single" w:color="000000" w:sz="6" w:space="0"/>
              <w:left w:val="single" w:color="000000" w:sz="4" w:space="0"/>
              <w:bottom w:val="single" w:color="000000" w:sz="6" w:space="0"/>
              <w:right w:val="single" w:color="000000" w:sz="4" w:space="0"/>
            </w:tcBorders>
          </w:tcPr>
          <w:p>
            <w:pPr>
              <w:pStyle w:val="8"/>
              <w:ind w:right="189"/>
              <w:jc w:val="right"/>
              <w:rPr>
                <w:sz w:val="21"/>
              </w:rPr>
            </w:pPr>
            <w:r>
              <w:rPr>
                <w:sz w:val="21"/>
              </w:rPr>
              <w:t xml:space="preserve">20 </w:t>
            </w:r>
          </w:p>
        </w:tc>
        <w:tc>
          <w:tcPr>
            <w:tcW w:w="835" w:type="dxa"/>
            <w:tcBorders>
              <w:top w:val="single" w:color="000000" w:sz="6" w:space="0"/>
              <w:left w:val="single" w:color="000000" w:sz="4" w:space="0"/>
              <w:bottom w:val="single" w:color="000000" w:sz="6" w:space="0"/>
            </w:tcBorders>
          </w:tcPr>
          <w:p>
            <w:pPr>
              <w:pStyle w:val="8"/>
              <w:ind w:left="239" w:right="118"/>
              <w:rPr>
                <w:sz w:val="21"/>
              </w:rPr>
            </w:pPr>
            <w:r>
              <w:rPr>
                <w:sz w:val="21"/>
              </w:rPr>
              <w:t xml:space="preserve">14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202" w:type="dxa"/>
            <w:tcBorders>
              <w:top w:val="single" w:color="000000" w:sz="6" w:space="0"/>
              <w:right w:val="single" w:color="000000" w:sz="6" w:space="0"/>
            </w:tcBorders>
          </w:tcPr>
          <w:p>
            <w:pPr>
              <w:pStyle w:val="8"/>
              <w:ind w:right="107"/>
              <w:jc w:val="right"/>
              <w:rPr>
                <w:sz w:val="21"/>
              </w:rPr>
            </w:pPr>
            <w:r>
              <w:rPr>
                <w:sz w:val="21"/>
              </w:rPr>
              <w:t xml:space="preserve">426-625 </w:t>
            </w:r>
          </w:p>
        </w:tc>
        <w:tc>
          <w:tcPr>
            <w:tcW w:w="780" w:type="dxa"/>
            <w:tcBorders>
              <w:top w:val="single" w:color="000000" w:sz="6" w:space="0"/>
              <w:left w:val="single" w:color="000000" w:sz="6" w:space="0"/>
              <w:right w:val="single" w:color="000000" w:sz="4" w:space="0"/>
            </w:tcBorders>
          </w:tcPr>
          <w:p>
            <w:pPr>
              <w:pStyle w:val="8"/>
              <w:ind w:left="269" w:right="139"/>
              <w:rPr>
                <w:sz w:val="21"/>
              </w:rPr>
            </w:pPr>
            <w:r>
              <w:rPr>
                <w:sz w:val="21"/>
              </w:rPr>
              <w:t xml:space="preserve">16 </w:t>
            </w:r>
          </w:p>
        </w:tc>
        <w:tc>
          <w:tcPr>
            <w:tcW w:w="781" w:type="dxa"/>
            <w:tcBorders>
              <w:top w:val="single" w:color="000000" w:sz="6" w:space="0"/>
              <w:left w:val="single" w:color="000000" w:sz="4" w:space="0"/>
              <w:right w:val="single" w:color="000000" w:sz="4" w:space="0"/>
            </w:tcBorders>
          </w:tcPr>
          <w:p>
            <w:pPr>
              <w:pStyle w:val="8"/>
              <w:ind w:left="268" w:right="145"/>
              <w:rPr>
                <w:sz w:val="21"/>
              </w:rPr>
            </w:pPr>
            <w:r>
              <w:rPr>
                <w:sz w:val="21"/>
              </w:rPr>
              <w:t xml:space="preserve">12 </w:t>
            </w:r>
          </w:p>
        </w:tc>
        <w:tc>
          <w:tcPr>
            <w:tcW w:w="778" w:type="dxa"/>
            <w:tcBorders>
              <w:top w:val="single" w:color="000000" w:sz="6" w:space="0"/>
              <w:left w:val="single" w:color="000000" w:sz="4" w:space="0"/>
              <w:right w:val="single" w:color="000000" w:sz="4" w:space="0"/>
            </w:tcBorders>
          </w:tcPr>
          <w:p>
            <w:pPr>
              <w:pStyle w:val="8"/>
              <w:ind w:left="267" w:right="143"/>
              <w:rPr>
                <w:sz w:val="21"/>
              </w:rPr>
            </w:pPr>
            <w:r>
              <w:rPr>
                <w:sz w:val="21"/>
              </w:rPr>
              <w:t xml:space="preserve">9 </w:t>
            </w:r>
          </w:p>
        </w:tc>
        <w:tc>
          <w:tcPr>
            <w:tcW w:w="780" w:type="dxa"/>
            <w:tcBorders>
              <w:top w:val="single" w:color="000000" w:sz="6" w:space="0"/>
              <w:left w:val="single" w:color="000000" w:sz="4" w:space="0"/>
              <w:right w:val="double" w:color="000000" w:sz="0" w:space="0"/>
            </w:tcBorders>
          </w:tcPr>
          <w:p>
            <w:pPr>
              <w:pStyle w:val="8"/>
              <w:ind w:left="342"/>
              <w:jc w:val="left"/>
              <w:rPr>
                <w:sz w:val="21"/>
              </w:rPr>
            </w:pPr>
            <w:r>
              <w:rPr>
                <w:sz w:val="21"/>
              </w:rPr>
              <w:t xml:space="preserve">6 </w:t>
            </w:r>
          </w:p>
        </w:tc>
        <w:tc>
          <w:tcPr>
            <w:tcW w:w="1419" w:type="dxa"/>
            <w:tcBorders>
              <w:top w:val="single" w:color="000000" w:sz="6" w:space="0"/>
              <w:left w:val="double" w:color="000000" w:sz="0" w:space="0"/>
              <w:right w:val="single" w:color="000000" w:sz="6" w:space="0"/>
            </w:tcBorders>
          </w:tcPr>
          <w:p>
            <w:pPr>
              <w:pStyle w:val="8"/>
              <w:ind w:left="220" w:right="92"/>
              <w:rPr>
                <w:sz w:val="21"/>
              </w:rPr>
            </w:pPr>
            <w:r>
              <w:rPr>
                <w:sz w:val="21"/>
              </w:rPr>
              <w:t xml:space="preserve">&gt;10700 </w:t>
            </w:r>
          </w:p>
        </w:tc>
        <w:tc>
          <w:tcPr>
            <w:tcW w:w="3335" w:type="dxa"/>
            <w:gridSpan w:val="4"/>
            <w:tcBorders>
              <w:top w:val="single" w:color="000000" w:sz="6" w:space="0"/>
              <w:left w:val="single" w:color="000000" w:sz="6" w:space="0"/>
            </w:tcBorders>
          </w:tcPr>
          <w:p>
            <w:pPr>
              <w:pStyle w:val="8"/>
              <w:ind w:left="827"/>
              <w:jc w:val="left"/>
              <w:rPr>
                <w:sz w:val="21"/>
              </w:rPr>
            </w:pPr>
            <w:r>
              <w:rPr>
                <w:sz w:val="21"/>
              </w:rPr>
              <w:t xml:space="preserve">遵循上述递进规律 </w:t>
            </w:r>
          </w:p>
        </w:tc>
      </w:tr>
    </w:tbl>
    <w:p>
      <w:pPr>
        <w:spacing w:before="46"/>
        <w:ind w:left="212" w:right="0" w:firstLine="0"/>
        <w:jc w:val="left"/>
        <w:rPr>
          <w:sz w:val="21"/>
        </w:rPr>
      </w:pPr>
      <w:r>
        <w:rPr>
          <w:color w:val="202020"/>
          <w:spacing w:val="-4"/>
          <w:sz w:val="21"/>
        </w:rPr>
        <w:t>注：1、有效人数包括认证范围内涉及的所有人员</w:t>
      </w:r>
      <w:r>
        <w:rPr>
          <w:color w:val="202020"/>
          <w:spacing w:val="-3"/>
          <w:sz w:val="21"/>
        </w:rPr>
        <w:t>（含每个班次的人员</w:t>
      </w:r>
      <w:r>
        <w:rPr>
          <w:color w:val="202020"/>
          <w:spacing w:val="-111"/>
          <w:sz w:val="21"/>
        </w:rPr>
        <w:t>）</w:t>
      </w:r>
      <w:r>
        <w:rPr>
          <w:color w:val="202020"/>
          <w:spacing w:val="-3"/>
          <w:sz w:val="21"/>
        </w:rPr>
        <w:t>。覆盖于认证范围内的非固定人员</w:t>
      </w:r>
    </w:p>
    <w:p>
      <w:pPr>
        <w:spacing w:before="91"/>
        <w:ind w:left="650" w:right="0" w:firstLine="0"/>
        <w:jc w:val="left"/>
        <w:rPr>
          <w:sz w:val="21"/>
        </w:rPr>
      </w:pPr>
      <w:r>
        <w:rPr>
          <w:color w:val="202020"/>
          <w:sz w:val="21"/>
        </w:rPr>
        <w:t xml:space="preserve">（如：承包商人员）和兼职人员也应包括在有效人数内。 </w:t>
      </w:r>
    </w:p>
    <w:p>
      <w:pPr>
        <w:pStyle w:val="3"/>
        <w:spacing w:before="6"/>
        <w:rPr>
          <w:sz w:val="16"/>
        </w:rPr>
      </w:pPr>
    </w:p>
    <w:p>
      <w:pPr>
        <w:spacing w:before="0" w:line="321" w:lineRule="auto"/>
        <w:ind w:left="650" w:right="328" w:hanging="12"/>
        <w:jc w:val="left"/>
        <w:rPr>
          <w:sz w:val="21"/>
        </w:rPr>
      </w:pPr>
      <w:r>
        <w:rPr>
          <w:color w:val="202020"/>
          <w:sz w:val="21"/>
        </w:rPr>
        <w:t xml:space="preserve">2、对非固定人员（包括季节性人员、临时人员和分包商人员）和兼职人员的有效人数核定，可根据其实际工作小时数予以适当减少或换算成等效的全职人员数。 </w:t>
      </w:r>
    </w:p>
    <w:p>
      <w:pPr>
        <w:spacing w:before="119" w:line="321" w:lineRule="auto"/>
        <w:ind w:left="650" w:right="325" w:hanging="12"/>
        <w:jc w:val="left"/>
        <w:rPr>
          <w:sz w:val="21"/>
        </w:rPr>
      </w:pPr>
      <w:r>
        <w:rPr>
          <w:color w:val="202020"/>
          <w:sz w:val="21"/>
        </w:rPr>
        <w:t xml:space="preserve">3、组织正常工作期间（如轮班制组织）安排的审核时间可以计入有效的管理体系认证审核时间，但往返多审核场所之间所花费的时间不计入有效的管理体系认证审核时间。 </w:t>
      </w:r>
    </w:p>
    <w:sectPr>
      <w:pgSz w:w="11910" w:h="16840"/>
      <w:pgMar w:top="1134" w:right="850" w:bottom="567" w:left="850" w:header="336" w:footer="584"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517.6pt;margin-top:801.65pt;height:13.05pt;width:2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rFonts w:ascii="Times New Roman"/>
                    <w:sz w:val="20"/>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779" w:hanging="912"/>
        <w:jc w:val="left"/>
      </w:pPr>
      <w:rPr>
        <w:rFonts w:hint="default"/>
        <w:lang w:val="en-US" w:eastAsia="zh-CN" w:bidi="ar-SA"/>
      </w:rPr>
    </w:lvl>
    <w:lvl w:ilvl="1" w:tentative="0">
      <w:start w:val="3"/>
      <w:numFmt w:val="decimal"/>
      <w:lvlText w:val="%1.%2"/>
      <w:lvlJc w:val="left"/>
      <w:pPr>
        <w:ind w:left="779" w:hanging="912"/>
        <w:jc w:val="left"/>
      </w:pPr>
      <w:rPr>
        <w:rFonts w:hint="default"/>
        <w:lang w:val="en-US" w:eastAsia="zh-CN" w:bidi="ar-SA"/>
      </w:rPr>
    </w:lvl>
    <w:lvl w:ilvl="2" w:tentative="0">
      <w:start w:val="2"/>
      <w:numFmt w:val="decimal"/>
      <w:lvlText w:val="%1.%2.%3"/>
      <w:lvlJc w:val="left"/>
      <w:pPr>
        <w:ind w:left="779" w:hanging="912"/>
        <w:jc w:val="left"/>
      </w:pPr>
      <w:rPr>
        <w:rFonts w:hint="default"/>
        <w:lang w:val="en-US" w:eastAsia="zh-CN" w:bidi="ar-SA"/>
      </w:rPr>
    </w:lvl>
    <w:lvl w:ilvl="3" w:tentative="0">
      <w:start w:val="1"/>
      <w:numFmt w:val="decimal"/>
      <w:lvlText w:val="%1.%2.%3.%4"/>
      <w:lvlJc w:val="left"/>
      <w:pPr>
        <w:ind w:left="779" w:hanging="912"/>
        <w:jc w:val="left"/>
      </w:pPr>
      <w:rPr>
        <w:rFonts w:hint="default" w:ascii="宋体" w:hAnsi="宋体" w:eastAsia="宋体" w:cs="宋体"/>
        <w:spacing w:val="-1"/>
        <w:w w:val="100"/>
        <w:sz w:val="24"/>
        <w:szCs w:val="24"/>
        <w:lang w:val="en-US" w:eastAsia="zh-CN" w:bidi="ar-SA"/>
      </w:rPr>
    </w:lvl>
    <w:lvl w:ilvl="4" w:tentative="0">
      <w:start w:val="0"/>
      <w:numFmt w:val="bullet"/>
      <w:lvlText w:val=""/>
      <w:lvlJc w:val="left"/>
      <w:pPr>
        <w:ind w:left="1773" w:hanging="284"/>
      </w:pPr>
      <w:rPr>
        <w:rFonts w:hint="default" w:ascii="Wingdings" w:hAnsi="Wingdings" w:eastAsia="Wingdings" w:cs="Wingdings"/>
        <w:w w:val="100"/>
        <w:sz w:val="24"/>
        <w:szCs w:val="24"/>
        <w:lang w:val="en-US" w:eastAsia="zh-CN" w:bidi="ar-SA"/>
      </w:rPr>
    </w:lvl>
    <w:lvl w:ilvl="5" w:tentative="0">
      <w:start w:val="0"/>
      <w:numFmt w:val="bullet"/>
      <w:lvlText w:val="•"/>
      <w:lvlJc w:val="left"/>
      <w:pPr>
        <w:ind w:left="5480" w:hanging="284"/>
      </w:pPr>
      <w:rPr>
        <w:rFonts w:hint="default"/>
        <w:lang w:val="en-US" w:eastAsia="zh-CN" w:bidi="ar-SA"/>
      </w:rPr>
    </w:lvl>
    <w:lvl w:ilvl="6" w:tentative="0">
      <w:start w:val="0"/>
      <w:numFmt w:val="bullet"/>
      <w:lvlText w:val="•"/>
      <w:lvlJc w:val="left"/>
      <w:pPr>
        <w:ind w:left="6405" w:hanging="284"/>
      </w:pPr>
      <w:rPr>
        <w:rFonts w:hint="default"/>
        <w:lang w:val="en-US" w:eastAsia="zh-CN" w:bidi="ar-SA"/>
      </w:rPr>
    </w:lvl>
    <w:lvl w:ilvl="7" w:tentative="0">
      <w:start w:val="0"/>
      <w:numFmt w:val="bullet"/>
      <w:lvlText w:val="•"/>
      <w:lvlJc w:val="left"/>
      <w:pPr>
        <w:ind w:left="7330" w:hanging="284"/>
      </w:pPr>
      <w:rPr>
        <w:rFonts w:hint="default"/>
        <w:lang w:val="en-US" w:eastAsia="zh-CN" w:bidi="ar-SA"/>
      </w:rPr>
    </w:lvl>
    <w:lvl w:ilvl="8" w:tentative="0">
      <w:start w:val="0"/>
      <w:numFmt w:val="bullet"/>
      <w:lvlText w:val="•"/>
      <w:lvlJc w:val="left"/>
      <w:pPr>
        <w:ind w:left="8256" w:hanging="284"/>
      </w:pPr>
      <w:rPr>
        <w:rFonts w:hint="default"/>
        <w:lang w:val="en-US" w:eastAsia="zh-CN" w:bidi="ar-SA"/>
      </w:rPr>
    </w:lvl>
  </w:abstractNum>
  <w:abstractNum w:abstractNumId="1">
    <w:nsid w:val="B5E306ED"/>
    <w:multiLevelType w:val="multilevel"/>
    <w:tmpl w:val="B5E306ED"/>
    <w:lvl w:ilvl="0" w:tentative="0">
      <w:start w:val="1"/>
      <w:numFmt w:val="lowerLetter"/>
      <w:lvlText w:val="%1)"/>
      <w:lvlJc w:val="left"/>
      <w:pPr>
        <w:ind w:left="1485" w:hanging="420"/>
        <w:jc w:val="left"/>
      </w:pPr>
      <w:rPr>
        <w:rFonts w:hint="default" w:ascii="宋体" w:hAnsi="宋体" w:eastAsia="宋体" w:cs="宋体"/>
        <w:w w:val="98"/>
        <w:sz w:val="21"/>
        <w:szCs w:val="21"/>
        <w:lang w:val="en-US" w:eastAsia="zh-CN" w:bidi="ar-SA"/>
      </w:rPr>
    </w:lvl>
    <w:lvl w:ilvl="1" w:tentative="0">
      <w:start w:val="0"/>
      <w:numFmt w:val="bullet"/>
      <w:lvlText w:val="•"/>
      <w:lvlJc w:val="left"/>
      <w:pPr>
        <w:ind w:left="2342" w:hanging="420"/>
      </w:pPr>
      <w:rPr>
        <w:rFonts w:hint="default"/>
        <w:lang w:val="en-US" w:eastAsia="zh-CN" w:bidi="ar-SA"/>
      </w:rPr>
    </w:lvl>
    <w:lvl w:ilvl="2" w:tentative="0">
      <w:start w:val="0"/>
      <w:numFmt w:val="bullet"/>
      <w:lvlText w:val="•"/>
      <w:lvlJc w:val="left"/>
      <w:pPr>
        <w:ind w:left="3205" w:hanging="420"/>
      </w:pPr>
      <w:rPr>
        <w:rFonts w:hint="default"/>
        <w:lang w:val="en-US" w:eastAsia="zh-CN" w:bidi="ar-SA"/>
      </w:rPr>
    </w:lvl>
    <w:lvl w:ilvl="3" w:tentative="0">
      <w:start w:val="0"/>
      <w:numFmt w:val="bullet"/>
      <w:lvlText w:val="•"/>
      <w:lvlJc w:val="left"/>
      <w:pPr>
        <w:ind w:left="4067" w:hanging="420"/>
      </w:pPr>
      <w:rPr>
        <w:rFonts w:hint="default"/>
        <w:lang w:val="en-US" w:eastAsia="zh-CN" w:bidi="ar-SA"/>
      </w:rPr>
    </w:lvl>
    <w:lvl w:ilvl="4" w:tentative="0">
      <w:start w:val="0"/>
      <w:numFmt w:val="bullet"/>
      <w:lvlText w:val="•"/>
      <w:lvlJc w:val="left"/>
      <w:pPr>
        <w:ind w:left="4930" w:hanging="420"/>
      </w:pPr>
      <w:rPr>
        <w:rFonts w:hint="default"/>
        <w:lang w:val="en-US" w:eastAsia="zh-CN" w:bidi="ar-SA"/>
      </w:rPr>
    </w:lvl>
    <w:lvl w:ilvl="5" w:tentative="0">
      <w:start w:val="0"/>
      <w:numFmt w:val="bullet"/>
      <w:lvlText w:val="•"/>
      <w:lvlJc w:val="left"/>
      <w:pPr>
        <w:ind w:left="5793" w:hanging="420"/>
      </w:pPr>
      <w:rPr>
        <w:rFonts w:hint="default"/>
        <w:lang w:val="en-US" w:eastAsia="zh-CN" w:bidi="ar-SA"/>
      </w:rPr>
    </w:lvl>
    <w:lvl w:ilvl="6" w:tentative="0">
      <w:start w:val="0"/>
      <w:numFmt w:val="bullet"/>
      <w:lvlText w:val="•"/>
      <w:lvlJc w:val="left"/>
      <w:pPr>
        <w:ind w:left="6655" w:hanging="420"/>
      </w:pPr>
      <w:rPr>
        <w:rFonts w:hint="default"/>
        <w:lang w:val="en-US" w:eastAsia="zh-CN" w:bidi="ar-SA"/>
      </w:rPr>
    </w:lvl>
    <w:lvl w:ilvl="7" w:tentative="0">
      <w:start w:val="0"/>
      <w:numFmt w:val="bullet"/>
      <w:lvlText w:val="•"/>
      <w:lvlJc w:val="left"/>
      <w:pPr>
        <w:ind w:left="7518" w:hanging="420"/>
      </w:pPr>
      <w:rPr>
        <w:rFonts w:hint="default"/>
        <w:lang w:val="en-US" w:eastAsia="zh-CN" w:bidi="ar-SA"/>
      </w:rPr>
    </w:lvl>
    <w:lvl w:ilvl="8" w:tentative="0">
      <w:start w:val="0"/>
      <w:numFmt w:val="bullet"/>
      <w:lvlText w:val="•"/>
      <w:lvlJc w:val="left"/>
      <w:pPr>
        <w:ind w:left="8381" w:hanging="420"/>
      </w:pPr>
      <w:rPr>
        <w:rFonts w:hint="default"/>
        <w:lang w:val="en-US" w:eastAsia="zh-CN" w:bidi="ar-SA"/>
      </w:rPr>
    </w:lvl>
  </w:abstractNum>
  <w:abstractNum w:abstractNumId="2">
    <w:nsid w:val="BF205925"/>
    <w:multiLevelType w:val="multilevel"/>
    <w:tmpl w:val="BF205925"/>
    <w:lvl w:ilvl="0" w:tentative="0">
      <w:start w:val="1"/>
      <w:numFmt w:val="lowerLetter"/>
      <w:lvlText w:val="%1)"/>
      <w:lvlJc w:val="left"/>
      <w:pPr>
        <w:ind w:left="1485" w:hanging="420"/>
        <w:jc w:val="left"/>
      </w:pPr>
      <w:rPr>
        <w:rFonts w:hint="default" w:ascii="宋体" w:hAnsi="宋体" w:eastAsia="宋体" w:cs="宋体"/>
        <w:w w:val="98"/>
        <w:sz w:val="21"/>
        <w:szCs w:val="21"/>
        <w:lang w:val="en-US" w:eastAsia="zh-CN" w:bidi="ar-SA"/>
      </w:rPr>
    </w:lvl>
    <w:lvl w:ilvl="1" w:tentative="0">
      <w:start w:val="0"/>
      <w:numFmt w:val="bullet"/>
      <w:lvlText w:val=""/>
      <w:lvlJc w:val="left"/>
      <w:pPr>
        <w:ind w:left="1905" w:hanging="420"/>
      </w:pPr>
      <w:rPr>
        <w:rFonts w:hint="default" w:ascii="Wingdings" w:hAnsi="Wingdings" w:eastAsia="Wingdings" w:cs="Wingdings"/>
        <w:w w:val="100"/>
        <w:sz w:val="24"/>
        <w:szCs w:val="24"/>
        <w:lang w:val="en-US" w:eastAsia="zh-CN" w:bidi="ar-SA"/>
      </w:rPr>
    </w:lvl>
    <w:lvl w:ilvl="2" w:tentative="0">
      <w:start w:val="0"/>
      <w:numFmt w:val="bullet"/>
      <w:lvlText w:val="•"/>
      <w:lvlJc w:val="left"/>
      <w:pPr>
        <w:ind w:left="2811" w:hanging="420"/>
      </w:pPr>
      <w:rPr>
        <w:rFonts w:hint="default"/>
        <w:lang w:val="en-US" w:eastAsia="zh-CN" w:bidi="ar-SA"/>
      </w:rPr>
    </w:lvl>
    <w:lvl w:ilvl="3" w:tentative="0">
      <w:start w:val="0"/>
      <w:numFmt w:val="bullet"/>
      <w:lvlText w:val="•"/>
      <w:lvlJc w:val="left"/>
      <w:pPr>
        <w:ind w:left="3723" w:hanging="420"/>
      </w:pPr>
      <w:rPr>
        <w:rFonts w:hint="default"/>
        <w:lang w:val="en-US" w:eastAsia="zh-CN" w:bidi="ar-SA"/>
      </w:rPr>
    </w:lvl>
    <w:lvl w:ilvl="4" w:tentative="0">
      <w:start w:val="0"/>
      <w:numFmt w:val="bullet"/>
      <w:lvlText w:val="•"/>
      <w:lvlJc w:val="left"/>
      <w:pPr>
        <w:ind w:left="4635" w:hanging="420"/>
      </w:pPr>
      <w:rPr>
        <w:rFonts w:hint="default"/>
        <w:lang w:val="en-US" w:eastAsia="zh-CN" w:bidi="ar-SA"/>
      </w:rPr>
    </w:lvl>
    <w:lvl w:ilvl="5" w:tentative="0">
      <w:start w:val="0"/>
      <w:numFmt w:val="bullet"/>
      <w:lvlText w:val="•"/>
      <w:lvlJc w:val="left"/>
      <w:pPr>
        <w:ind w:left="5547" w:hanging="420"/>
      </w:pPr>
      <w:rPr>
        <w:rFonts w:hint="default"/>
        <w:lang w:val="en-US" w:eastAsia="zh-CN" w:bidi="ar-SA"/>
      </w:rPr>
    </w:lvl>
    <w:lvl w:ilvl="6" w:tentative="0">
      <w:start w:val="0"/>
      <w:numFmt w:val="bullet"/>
      <w:lvlText w:val="•"/>
      <w:lvlJc w:val="left"/>
      <w:pPr>
        <w:ind w:left="6459" w:hanging="420"/>
      </w:pPr>
      <w:rPr>
        <w:rFonts w:hint="default"/>
        <w:lang w:val="en-US" w:eastAsia="zh-CN" w:bidi="ar-SA"/>
      </w:rPr>
    </w:lvl>
    <w:lvl w:ilvl="7" w:tentative="0">
      <w:start w:val="0"/>
      <w:numFmt w:val="bullet"/>
      <w:lvlText w:val="•"/>
      <w:lvlJc w:val="left"/>
      <w:pPr>
        <w:ind w:left="7370" w:hanging="420"/>
      </w:pPr>
      <w:rPr>
        <w:rFonts w:hint="default"/>
        <w:lang w:val="en-US" w:eastAsia="zh-CN" w:bidi="ar-SA"/>
      </w:rPr>
    </w:lvl>
    <w:lvl w:ilvl="8" w:tentative="0">
      <w:start w:val="0"/>
      <w:numFmt w:val="bullet"/>
      <w:lvlText w:val="•"/>
      <w:lvlJc w:val="left"/>
      <w:pPr>
        <w:ind w:left="8282" w:hanging="420"/>
      </w:pPr>
      <w:rPr>
        <w:rFonts w:hint="default"/>
        <w:lang w:val="en-US" w:eastAsia="zh-CN" w:bidi="ar-SA"/>
      </w:rPr>
    </w:lvl>
  </w:abstractNum>
  <w:abstractNum w:abstractNumId="3">
    <w:nsid w:val="CF092B84"/>
    <w:multiLevelType w:val="multilevel"/>
    <w:tmpl w:val="CF092B84"/>
    <w:lvl w:ilvl="0" w:tentative="0">
      <w:start w:val="1"/>
      <w:numFmt w:val="lowerLetter"/>
      <w:lvlText w:val="%1)"/>
      <w:lvlJc w:val="left"/>
      <w:pPr>
        <w:ind w:left="1485" w:hanging="420"/>
        <w:jc w:val="left"/>
      </w:pPr>
      <w:rPr>
        <w:rFonts w:hint="default" w:ascii="宋体" w:hAnsi="宋体" w:eastAsia="宋体" w:cs="宋体"/>
        <w:w w:val="98"/>
        <w:sz w:val="21"/>
        <w:szCs w:val="21"/>
        <w:lang w:val="en-US" w:eastAsia="zh-CN" w:bidi="ar-SA"/>
      </w:rPr>
    </w:lvl>
    <w:lvl w:ilvl="1" w:tentative="0">
      <w:start w:val="0"/>
      <w:numFmt w:val="bullet"/>
      <w:lvlText w:val="•"/>
      <w:lvlJc w:val="left"/>
      <w:pPr>
        <w:ind w:left="2342" w:hanging="420"/>
      </w:pPr>
      <w:rPr>
        <w:rFonts w:hint="default"/>
        <w:lang w:val="en-US" w:eastAsia="zh-CN" w:bidi="ar-SA"/>
      </w:rPr>
    </w:lvl>
    <w:lvl w:ilvl="2" w:tentative="0">
      <w:start w:val="0"/>
      <w:numFmt w:val="bullet"/>
      <w:lvlText w:val="•"/>
      <w:lvlJc w:val="left"/>
      <w:pPr>
        <w:ind w:left="3205" w:hanging="420"/>
      </w:pPr>
      <w:rPr>
        <w:rFonts w:hint="default"/>
        <w:lang w:val="en-US" w:eastAsia="zh-CN" w:bidi="ar-SA"/>
      </w:rPr>
    </w:lvl>
    <w:lvl w:ilvl="3" w:tentative="0">
      <w:start w:val="0"/>
      <w:numFmt w:val="bullet"/>
      <w:lvlText w:val="•"/>
      <w:lvlJc w:val="left"/>
      <w:pPr>
        <w:ind w:left="4067" w:hanging="420"/>
      </w:pPr>
      <w:rPr>
        <w:rFonts w:hint="default"/>
        <w:lang w:val="en-US" w:eastAsia="zh-CN" w:bidi="ar-SA"/>
      </w:rPr>
    </w:lvl>
    <w:lvl w:ilvl="4" w:tentative="0">
      <w:start w:val="0"/>
      <w:numFmt w:val="bullet"/>
      <w:lvlText w:val="•"/>
      <w:lvlJc w:val="left"/>
      <w:pPr>
        <w:ind w:left="4930" w:hanging="420"/>
      </w:pPr>
      <w:rPr>
        <w:rFonts w:hint="default"/>
        <w:lang w:val="en-US" w:eastAsia="zh-CN" w:bidi="ar-SA"/>
      </w:rPr>
    </w:lvl>
    <w:lvl w:ilvl="5" w:tentative="0">
      <w:start w:val="0"/>
      <w:numFmt w:val="bullet"/>
      <w:lvlText w:val="•"/>
      <w:lvlJc w:val="left"/>
      <w:pPr>
        <w:ind w:left="5793" w:hanging="420"/>
      </w:pPr>
      <w:rPr>
        <w:rFonts w:hint="default"/>
        <w:lang w:val="en-US" w:eastAsia="zh-CN" w:bidi="ar-SA"/>
      </w:rPr>
    </w:lvl>
    <w:lvl w:ilvl="6" w:tentative="0">
      <w:start w:val="0"/>
      <w:numFmt w:val="bullet"/>
      <w:lvlText w:val="•"/>
      <w:lvlJc w:val="left"/>
      <w:pPr>
        <w:ind w:left="6655" w:hanging="420"/>
      </w:pPr>
      <w:rPr>
        <w:rFonts w:hint="default"/>
        <w:lang w:val="en-US" w:eastAsia="zh-CN" w:bidi="ar-SA"/>
      </w:rPr>
    </w:lvl>
    <w:lvl w:ilvl="7" w:tentative="0">
      <w:start w:val="0"/>
      <w:numFmt w:val="bullet"/>
      <w:lvlText w:val="•"/>
      <w:lvlJc w:val="left"/>
      <w:pPr>
        <w:ind w:left="7518" w:hanging="420"/>
      </w:pPr>
      <w:rPr>
        <w:rFonts w:hint="default"/>
        <w:lang w:val="en-US" w:eastAsia="zh-CN" w:bidi="ar-SA"/>
      </w:rPr>
    </w:lvl>
    <w:lvl w:ilvl="8" w:tentative="0">
      <w:start w:val="0"/>
      <w:numFmt w:val="bullet"/>
      <w:lvlText w:val="•"/>
      <w:lvlJc w:val="left"/>
      <w:pPr>
        <w:ind w:left="8381" w:hanging="420"/>
      </w:pPr>
      <w:rPr>
        <w:rFonts w:hint="default"/>
        <w:lang w:val="en-US" w:eastAsia="zh-CN" w:bidi="ar-SA"/>
      </w:rPr>
    </w:lvl>
  </w:abstractNum>
  <w:abstractNum w:abstractNumId="4">
    <w:nsid w:val="0053208E"/>
    <w:multiLevelType w:val="multilevel"/>
    <w:tmpl w:val="0053208E"/>
    <w:lvl w:ilvl="0" w:tentative="0">
      <w:start w:val="3"/>
      <w:numFmt w:val="decimal"/>
      <w:lvlText w:val="%1"/>
      <w:lvlJc w:val="left"/>
      <w:pPr>
        <w:ind w:left="921" w:hanging="709"/>
        <w:jc w:val="left"/>
      </w:pPr>
      <w:rPr>
        <w:rFonts w:hint="default"/>
        <w:lang w:val="en-US" w:eastAsia="zh-CN" w:bidi="ar-SA"/>
      </w:rPr>
    </w:lvl>
    <w:lvl w:ilvl="1" w:tentative="0">
      <w:start w:val="0"/>
      <w:numFmt w:val="decimal"/>
      <w:lvlText w:val="%1.%2"/>
      <w:lvlJc w:val="left"/>
      <w:pPr>
        <w:ind w:left="921" w:hanging="709"/>
        <w:jc w:val="right"/>
      </w:pPr>
      <w:rPr>
        <w:rFonts w:hint="default"/>
        <w:b/>
        <w:bCs/>
        <w:spacing w:val="0"/>
        <w:w w:val="99"/>
        <w:lang w:val="en-US" w:eastAsia="zh-CN" w:bidi="ar-SA"/>
      </w:rPr>
    </w:lvl>
    <w:lvl w:ilvl="2" w:tentative="0">
      <w:start w:val="1"/>
      <w:numFmt w:val="decimal"/>
      <w:lvlText w:val="%1.%2.%3"/>
      <w:lvlJc w:val="left"/>
      <w:pPr>
        <w:ind w:left="1725" w:hanging="660"/>
        <w:jc w:val="left"/>
      </w:pPr>
      <w:rPr>
        <w:rFonts w:hint="default" w:ascii="宋体" w:hAnsi="宋体" w:eastAsia="宋体" w:cs="宋体"/>
        <w:spacing w:val="-1"/>
        <w:w w:val="100"/>
        <w:sz w:val="24"/>
        <w:szCs w:val="24"/>
        <w:lang w:val="en-US" w:eastAsia="zh-CN" w:bidi="ar-SA"/>
      </w:rPr>
    </w:lvl>
    <w:lvl w:ilvl="3" w:tentative="0">
      <w:start w:val="0"/>
      <w:numFmt w:val="bullet"/>
      <w:lvlText w:val="•"/>
      <w:lvlJc w:val="left"/>
      <w:pPr>
        <w:ind w:left="3583" w:hanging="660"/>
      </w:pPr>
      <w:rPr>
        <w:rFonts w:hint="default"/>
        <w:lang w:val="en-US" w:eastAsia="zh-CN" w:bidi="ar-SA"/>
      </w:rPr>
    </w:lvl>
    <w:lvl w:ilvl="4" w:tentative="0">
      <w:start w:val="0"/>
      <w:numFmt w:val="bullet"/>
      <w:lvlText w:val="•"/>
      <w:lvlJc w:val="left"/>
      <w:pPr>
        <w:ind w:left="4515" w:hanging="660"/>
      </w:pPr>
      <w:rPr>
        <w:rFonts w:hint="default"/>
        <w:lang w:val="en-US" w:eastAsia="zh-CN" w:bidi="ar-SA"/>
      </w:rPr>
    </w:lvl>
    <w:lvl w:ilvl="5" w:tentative="0">
      <w:start w:val="0"/>
      <w:numFmt w:val="bullet"/>
      <w:lvlText w:val="•"/>
      <w:lvlJc w:val="left"/>
      <w:pPr>
        <w:ind w:left="5447" w:hanging="660"/>
      </w:pPr>
      <w:rPr>
        <w:rFonts w:hint="default"/>
        <w:lang w:val="en-US" w:eastAsia="zh-CN" w:bidi="ar-SA"/>
      </w:rPr>
    </w:lvl>
    <w:lvl w:ilvl="6" w:tentative="0">
      <w:start w:val="0"/>
      <w:numFmt w:val="bullet"/>
      <w:lvlText w:val="•"/>
      <w:lvlJc w:val="left"/>
      <w:pPr>
        <w:ind w:left="6379" w:hanging="660"/>
      </w:pPr>
      <w:rPr>
        <w:rFonts w:hint="default"/>
        <w:lang w:val="en-US" w:eastAsia="zh-CN" w:bidi="ar-SA"/>
      </w:rPr>
    </w:lvl>
    <w:lvl w:ilvl="7" w:tentative="0">
      <w:start w:val="0"/>
      <w:numFmt w:val="bullet"/>
      <w:lvlText w:val="•"/>
      <w:lvlJc w:val="left"/>
      <w:pPr>
        <w:ind w:left="7310" w:hanging="660"/>
      </w:pPr>
      <w:rPr>
        <w:rFonts w:hint="default"/>
        <w:lang w:val="en-US" w:eastAsia="zh-CN" w:bidi="ar-SA"/>
      </w:rPr>
    </w:lvl>
    <w:lvl w:ilvl="8" w:tentative="0">
      <w:start w:val="0"/>
      <w:numFmt w:val="bullet"/>
      <w:lvlText w:val="•"/>
      <w:lvlJc w:val="left"/>
      <w:pPr>
        <w:ind w:left="8242" w:hanging="660"/>
      </w:pPr>
      <w:rPr>
        <w:rFonts w:hint="default"/>
        <w:lang w:val="en-US" w:eastAsia="zh-CN" w:bidi="ar-SA"/>
      </w:rPr>
    </w:lvl>
  </w:abstractNum>
  <w:abstractNum w:abstractNumId="5">
    <w:nsid w:val="0248C179"/>
    <w:multiLevelType w:val="multilevel"/>
    <w:tmpl w:val="0248C179"/>
    <w:lvl w:ilvl="0" w:tentative="0">
      <w:start w:val="5"/>
      <w:numFmt w:val="decimal"/>
      <w:lvlText w:val="%1"/>
      <w:lvlJc w:val="left"/>
      <w:pPr>
        <w:ind w:left="779" w:hanging="912"/>
        <w:jc w:val="left"/>
      </w:pPr>
      <w:rPr>
        <w:rFonts w:hint="default"/>
        <w:lang w:val="en-US" w:eastAsia="zh-CN" w:bidi="ar-SA"/>
      </w:rPr>
    </w:lvl>
    <w:lvl w:ilvl="1" w:tentative="0">
      <w:start w:val="3"/>
      <w:numFmt w:val="decimal"/>
      <w:lvlText w:val="%1.%2"/>
      <w:lvlJc w:val="left"/>
      <w:pPr>
        <w:ind w:left="779" w:hanging="912"/>
        <w:jc w:val="left"/>
      </w:pPr>
      <w:rPr>
        <w:rFonts w:hint="default"/>
        <w:lang w:val="en-US" w:eastAsia="zh-CN" w:bidi="ar-SA"/>
      </w:rPr>
    </w:lvl>
    <w:lvl w:ilvl="2" w:tentative="0">
      <w:start w:val="1"/>
      <w:numFmt w:val="decimal"/>
      <w:lvlText w:val="%1.%2.%3"/>
      <w:lvlJc w:val="left"/>
      <w:pPr>
        <w:ind w:left="779" w:hanging="912"/>
        <w:jc w:val="left"/>
      </w:pPr>
      <w:rPr>
        <w:rFonts w:hint="default"/>
        <w:lang w:val="en-US" w:eastAsia="zh-CN" w:bidi="ar-SA"/>
      </w:rPr>
    </w:lvl>
    <w:lvl w:ilvl="3" w:tentative="0">
      <w:start w:val="1"/>
      <w:numFmt w:val="decimal"/>
      <w:lvlText w:val="%1.%2.%3.%4"/>
      <w:lvlJc w:val="left"/>
      <w:pPr>
        <w:ind w:left="779" w:hanging="912"/>
        <w:jc w:val="left"/>
      </w:pPr>
      <w:rPr>
        <w:rFonts w:hint="default" w:ascii="宋体" w:hAnsi="宋体" w:eastAsia="宋体" w:cs="宋体"/>
        <w:w w:val="100"/>
        <w:sz w:val="24"/>
        <w:szCs w:val="24"/>
        <w:lang w:val="en-US" w:eastAsia="zh-CN" w:bidi="ar-SA"/>
      </w:rPr>
    </w:lvl>
    <w:lvl w:ilvl="4" w:tentative="0">
      <w:start w:val="0"/>
      <w:numFmt w:val="bullet"/>
      <w:lvlText w:val=""/>
      <w:lvlJc w:val="left"/>
      <w:pPr>
        <w:ind w:left="1773" w:hanging="284"/>
      </w:pPr>
      <w:rPr>
        <w:rFonts w:hint="default" w:ascii="Wingdings" w:hAnsi="Wingdings" w:eastAsia="Wingdings" w:cs="Wingdings"/>
        <w:w w:val="100"/>
        <w:sz w:val="24"/>
        <w:szCs w:val="24"/>
        <w:lang w:val="en-US" w:eastAsia="zh-CN" w:bidi="ar-SA"/>
      </w:rPr>
    </w:lvl>
    <w:lvl w:ilvl="5" w:tentative="0">
      <w:start w:val="0"/>
      <w:numFmt w:val="bullet"/>
      <w:lvlText w:val="•"/>
      <w:lvlJc w:val="left"/>
      <w:pPr>
        <w:ind w:left="5480" w:hanging="284"/>
      </w:pPr>
      <w:rPr>
        <w:rFonts w:hint="default"/>
        <w:lang w:val="en-US" w:eastAsia="zh-CN" w:bidi="ar-SA"/>
      </w:rPr>
    </w:lvl>
    <w:lvl w:ilvl="6" w:tentative="0">
      <w:start w:val="0"/>
      <w:numFmt w:val="bullet"/>
      <w:lvlText w:val="•"/>
      <w:lvlJc w:val="left"/>
      <w:pPr>
        <w:ind w:left="6405" w:hanging="284"/>
      </w:pPr>
      <w:rPr>
        <w:rFonts w:hint="default"/>
        <w:lang w:val="en-US" w:eastAsia="zh-CN" w:bidi="ar-SA"/>
      </w:rPr>
    </w:lvl>
    <w:lvl w:ilvl="7" w:tentative="0">
      <w:start w:val="0"/>
      <w:numFmt w:val="bullet"/>
      <w:lvlText w:val="•"/>
      <w:lvlJc w:val="left"/>
      <w:pPr>
        <w:ind w:left="7330" w:hanging="284"/>
      </w:pPr>
      <w:rPr>
        <w:rFonts w:hint="default"/>
        <w:lang w:val="en-US" w:eastAsia="zh-CN" w:bidi="ar-SA"/>
      </w:rPr>
    </w:lvl>
    <w:lvl w:ilvl="8" w:tentative="0">
      <w:start w:val="0"/>
      <w:numFmt w:val="bullet"/>
      <w:lvlText w:val="•"/>
      <w:lvlJc w:val="left"/>
      <w:pPr>
        <w:ind w:left="8256" w:hanging="284"/>
      </w:pPr>
      <w:rPr>
        <w:rFonts w:hint="default"/>
        <w:lang w:val="en-US" w:eastAsia="zh-CN" w:bidi="ar-SA"/>
      </w:rPr>
    </w:lvl>
  </w:abstractNum>
  <w:abstractNum w:abstractNumId="6">
    <w:nsid w:val="03D62ECE"/>
    <w:multiLevelType w:val="multilevel"/>
    <w:tmpl w:val="03D62ECE"/>
    <w:lvl w:ilvl="0" w:tentative="0">
      <w:start w:val="5"/>
      <w:numFmt w:val="decimal"/>
      <w:lvlText w:val="%1"/>
      <w:lvlJc w:val="left"/>
      <w:pPr>
        <w:ind w:left="921" w:hanging="709"/>
        <w:jc w:val="left"/>
      </w:pPr>
      <w:rPr>
        <w:rFonts w:hint="default"/>
        <w:lang w:val="en-US" w:eastAsia="zh-CN" w:bidi="ar-SA"/>
      </w:rPr>
    </w:lvl>
    <w:lvl w:ilvl="1" w:tentative="0">
      <w:start w:val="0"/>
      <w:numFmt w:val="decimal"/>
      <w:lvlText w:val="%1.%2"/>
      <w:lvlJc w:val="left"/>
      <w:pPr>
        <w:ind w:left="921" w:hanging="709"/>
        <w:jc w:val="right"/>
      </w:pPr>
      <w:rPr>
        <w:rFonts w:hint="default"/>
        <w:b/>
        <w:bCs/>
        <w:spacing w:val="0"/>
        <w:w w:val="99"/>
        <w:lang w:val="en-US" w:eastAsia="zh-CN" w:bidi="ar-SA"/>
      </w:rPr>
    </w:lvl>
    <w:lvl w:ilvl="2" w:tentative="0">
      <w:start w:val="1"/>
      <w:numFmt w:val="decimal"/>
      <w:lvlText w:val="%1.%2.%3"/>
      <w:lvlJc w:val="left"/>
      <w:pPr>
        <w:ind w:left="1439" w:hanging="660"/>
        <w:jc w:val="left"/>
      </w:pPr>
      <w:rPr>
        <w:rFonts w:hint="default" w:ascii="宋体" w:hAnsi="宋体" w:eastAsia="宋体" w:cs="宋体"/>
        <w:w w:val="100"/>
        <w:sz w:val="24"/>
        <w:szCs w:val="24"/>
        <w:lang w:val="en-US" w:eastAsia="zh-CN" w:bidi="ar-SA"/>
      </w:rPr>
    </w:lvl>
    <w:lvl w:ilvl="3" w:tentative="0">
      <w:start w:val="0"/>
      <w:numFmt w:val="bullet"/>
      <w:lvlText w:val=""/>
      <w:lvlJc w:val="left"/>
      <w:pPr>
        <w:ind w:left="1773" w:hanging="284"/>
      </w:pPr>
      <w:rPr>
        <w:rFonts w:hint="default" w:ascii="Wingdings" w:hAnsi="Wingdings" w:eastAsia="Wingdings" w:cs="Wingdings"/>
        <w:w w:val="100"/>
        <w:sz w:val="24"/>
        <w:szCs w:val="24"/>
        <w:lang w:val="en-US" w:eastAsia="zh-CN" w:bidi="ar-SA"/>
      </w:rPr>
    </w:lvl>
    <w:lvl w:ilvl="4" w:tentative="0">
      <w:start w:val="0"/>
      <w:numFmt w:val="bullet"/>
      <w:lvlText w:val="•"/>
      <w:lvlJc w:val="left"/>
      <w:pPr>
        <w:ind w:left="2969" w:hanging="284"/>
      </w:pPr>
      <w:rPr>
        <w:rFonts w:hint="default"/>
        <w:lang w:val="en-US" w:eastAsia="zh-CN" w:bidi="ar-SA"/>
      </w:rPr>
    </w:lvl>
    <w:lvl w:ilvl="5" w:tentative="0">
      <w:start w:val="0"/>
      <w:numFmt w:val="bullet"/>
      <w:lvlText w:val="•"/>
      <w:lvlJc w:val="left"/>
      <w:pPr>
        <w:ind w:left="4158" w:hanging="284"/>
      </w:pPr>
      <w:rPr>
        <w:rFonts w:hint="default"/>
        <w:lang w:val="en-US" w:eastAsia="zh-CN" w:bidi="ar-SA"/>
      </w:rPr>
    </w:lvl>
    <w:lvl w:ilvl="6" w:tentative="0">
      <w:start w:val="0"/>
      <w:numFmt w:val="bullet"/>
      <w:lvlText w:val="•"/>
      <w:lvlJc w:val="left"/>
      <w:pPr>
        <w:ind w:left="5348" w:hanging="284"/>
      </w:pPr>
      <w:rPr>
        <w:rFonts w:hint="default"/>
        <w:lang w:val="en-US" w:eastAsia="zh-CN" w:bidi="ar-SA"/>
      </w:rPr>
    </w:lvl>
    <w:lvl w:ilvl="7" w:tentative="0">
      <w:start w:val="0"/>
      <w:numFmt w:val="bullet"/>
      <w:lvlText w:val="•"/>
      <w:lvlJc w:val="left"/>
      <w:pPr>
        <w:ind w:left="6537" w:hanging="284"/>
      </w:pPr>
      <w:rPr>
        <w:rFonts w:hint="default"/>
        <w:lang w:val="en-US" w:eastAsia="zh-CN" w:bidi="ar-SA"/>
      </w:rPr>
    </w:lvl>
    <w:lvl w:ilvl="8" w:tentative="0">
      <w:start w:val="0"/>
      <w:numFmt w:val="bullet"/>
      <w:lvlText w:val="•"/>
      <w:lvlJc w:val="left"/>
      <w:pPr>
        <w:ind w:left="7727" w:hanging="284"/>
      </w:pPr>
      <w:rPr>
        <w:rFonts w:hint="default"/>
        <w:lang w:val="en-US" w:eastAsia="zh-CN" w:bidi="ar-SA"/>
      </w:rPr>
    </w:lvl>
  </w:abstractNum>
  <w:abstractNum w:abstractNumId="7">
    <w:nsid w:val="25B654F3"/>
    <w:multiLevelType w:val="multilevel"/>
    <w:tmpl w:val="25B654F3"/>
    <w:lvl w:ilvl="0" w:tentative="0">
      <w:start w:val="1"/>
      <w:numFmt w:val="decimal"/>
      <w:lvlText w:val="%1)"/>
      <w:lvlJc w:val="left"/>
      <w:pPr>
        <w:ind w:left="1631" w:hanging="286"/>
        <w:jc w:val="left"/>
      </w:pPr>
      <w:rPr>
        <w:rFonts w:hint="default" w:ascii="宋体" w:hAnsi="宋体" w:eastAsia="宋体" w:cs="宋体"/>
        <w:w w:val="100"/>
        <w:sz w:val="24"/>
        <w:szCs w:val="24"/>
        <w:lang w:val="en-US" w:eastAsia="zh-CN" w:bidi="ar-SA"/>
      </w:rPr>
    </w:lvl>
    <w:lvl w:ilvl="1" w:tentative="0">
      <w:start w:val="0"/>
      <w:numFmt w:val="bullet"/>
      <w:lvlText w:val="•"/>
      <w:lvlJc w:val="left"/>
      <w:pPr>
        <w:ind w:left="2486" w:hanging="286"/>
      </w:pPr>
      <w:rPr>
        <w:rFonts w:hint="default"/>
        <w:lang w:val="en-US" w:eastAsia="zh-CN" w:bidi="ar-SA"/>
      </w:rPr>
    </w:lvl>
    <w:lvl w:ilvl="2" w:tentative="0">
      <w:start w:val="0"/>
      <w:numFmt w:val="bullet"/>
      <w:lvlText w:val="•"/>
      <w:lvlJc w:val="left"/>
      <w:pPr>
        <w:ind w:left="3333" w:hanging="286"/>
      </w:pPr>
      <w:rPr>
        <w:rFonts w:hint="default"/>
        <w:lang w:val="en-US" w:eastAsia="zh-CN" w:bidi="ar-SA"/>
      </w:rPr>
    </w:lvl>
    <w:lvl w:ilvl="3" w:tentative="0">
      <w:start w:val="0"/>
      <w:numFmt w:val="bullet"/>
      <w:lvlText w:val="•"/>
      <w:lvlJc w:val="left"/>
      <w:pPr>
        <w:ind w:left="4179" w:hanging="286"/>
      </w:pPr>
      <w:rPr>
        <w:rFonts w:hint="default"/>
        <w:lang w:val="en-US" w:eastAsia="zh-CN" w:bidi="ar-SA"/>
      </w:rPr>
    </w:lvl>
    <w:lvl w:ilvl="4" w:tentative="0">
      <w:start w:val="0"/>
      <w:numFmt w:val="bullet"/>
      <w:lvlText w:val="•"/>
      <w:lvlJc w:val="left"/>
      <w:pPr>
        <w:ind w:left="5026" w:hanging="286"/>
      </w:pPr>
      <w:rPr>
        <w:rFonts w:hint="default"/>
        <w:lang w:val="en-US" w:eastAsia="zh-CN" w:bidi="ar-SA"/>
      </w:rPr>
    </w:lvl>
    <w:lvl w:ilvl="5" w:tentative="0">
      <w:start w:val="0"/>
      <w:numFmt w:val="bullet"/>
      <w:lvlText w:val="•"/>
      <w:lvlJc w:val="left"/>
      <w:pPr>
        <w:ind w:left="5873" w:hanging="286"/>
      </w:pPr>
      <w:rPr>
        <w:rFonts w:hint="default"/>
        <w:lang w:val="en-US" w:eastAsia="zh-CN" w:bidi="ar-SA"/>
      </w:rPr>
    </w:lvl>
    <w:lvl w:ilvl="6" w:tentative="0">
      <w:start w:val="0"/>
      <w:numFmt w:val="bullet"/>
      <w:lvlText w:val="•"/>
      <w:lvlJc w:val="left"/>
      <w:pPr>
        <w:ind w:left="6719" w:hanging="286"/>
      </w:pPr>
      <w:rPr>
        <w:rFonts w:hint="default"/>
        <w:lang w:val="en-US" w:eastAsia="zh-CN" w:bidi="ar-SA"/>
      </w:rPr>
    </w:lvl>
    <w:lvl w:ilvl="7" w:tentative="0">
      <w:start w:val="0"/>
      <w:numFmt w:val="bullet"/>
      <w:lvlText w:val="•"/>
      <w:lvlJc w:val="left"/>
      <w:pPr>
        <w:ind w:left="7566" w:hanging="286"/>
      </w:pPr>
      <w:rPr>
        <w:rFonts w:hint="default"/>
        <w:lang w:val="en-US" w:eastAsia="zh-CN" w:bidi="ar-SA"/>
      </w:rPr>
    </w:lvl>
    <w:lvl w:ilvl="8" w:tentative="0">
      <w:start w:val="0"/>
      <w:numFmt w:val="bullet"/>
      <w:lvlText w:val="•"/>
      <w:lvlJc w:val="left"/>
      <w:pPr>
        <w:ind w:left="8413" w:hanging="286"/>
      </w:pPr>
      <w:rPr>
        <w:rFonts w:hint="default"/>
        <w:lang w:val="en-US" w:eastAsia="zh-CN" w:bidi="ar-SA"/>
      </w:rPr>
    </w:lvl>
  </w:abstractNum>
  <w:abstractNum w:abstractNumId="8">
    <w:nsid w:val="2A8F537B"/>
    <w:multiLevelType w:val="multilevel"/>
    <w:tmpl w:val="2A8F537B"/>
    <w:lvl w:ilvl="0" w:tentative="0">
      <w:start w:val="5"/>
      <w:numFmt w:val="decimal"/>
      <w:lvlText w:val="%1"/>
      <w:lvlJc w:val="left"/>
      <w:pPr>
        <w:ind w:left="779" w:hanging="912"/>
        <w:jc w:val="left"/>
      </w:pPr>
      <w:rPr>
        <w:rFonts w:hint="default"/>
        <w:lang w:val="en-US" w:eastAsia="zh-CN" w:bidi="ar-SA"/>
      </w:rPr>
    </w:lvl>
    <w:lvl w:ilvl="1" w:tentative="0">
      <w:start w:val="3"/>
      <w:numFmt w:val="decimal"/>
      <w:lvlText w:val="%1.%2"/>
      <w:lvlJc w:val="left"/>
      <w:pPr>
        <w:ind w:left="779" w:hanging="912"/>
        <w:jc w:val="left"/>
      </w:pPr>
      <w:rPr>
        <w:rFonts w:hint="default"/>
        <w:lang w:val="en-US" w:eastAsia="zh-CN" w:bidi="ar-SA"/>
      </w:rPr>
    </w:lvl>
    <w:lvl w:ilvl="2" w:tentative="0">
      <w:start w:val="3"/>
      <w:numFmt w:val="decimal"/>
      <w:lvlText w:val="%1.%2.%3"/>
      <w:lvlJc w:val="left"/>
      <w:pPr>
        <w:ind w:left="779" w:hanging="912"/>
        <w:jc w:val="left"/>
      </w:pPr>
      <w:rPr>
        <w:rFonts w:hint="default"/>
        <w:lang w:val="en-US" w:eastAsia="zh-CN" w:bidi="ar-SA"/>
      </w:rPr>
    </w:lvl>
    <w:lvl w:ilvl="3" w:tentative="0">
      <w:start w:val="1"/>
      <w:numFmt w:val="decimal"/>
      <w:lvlText w:val="%1.%2.%3.%4"/>
      <w:lvlJc w:val="left"/>
      <w:pPr>
        <w:ind w:left="779" w:hanging="912"/>
        <w:jc w:val="left"/>
      </w:pPr>
      <w:rPr>
        <w:rFonts w:hint="default" w:ascii="宋体" w:hAnsi="宋体" w:eastAsia="宋体" w:cs="宋体"/>
        <w:spacing w:val="-1"/>
        <w:w w:val="100"/>
        <w:sz w:val="24"/>
        <w:szCs w:val="24"/>
        <w:lang w:val="en-US" w:eastAsia="zh-CN" w:bidi="ar-SA"/>
      </w:rPr>
    </w:lvl>
    <w:lvl w:ilvl="4" w:tentative="0">
      <w:start w:val="0"/>
      <w:numFmt w:val="bullet"/>
      <w:lvlText w:val="•"/>
      <w:lvlJc w:val="left"/>
      <w:pPr>
        <w:ind w:left="4510" w:hanging="912"/>
      </w:pPr>
      <w:rPr>
        <w:rFonts w:hint="default"/>
        <w:lang w:val="en-US" w:eastAsia="zh-CN" w:bidi="ar-SA"/>
      </w:rPr>
    </w:lvl>
    <w:lvl w:ilvl="5" w:tentative="0">
      <w:start w:val="0"/>
      <w:numFmt w:val="bullet"/>
      <w:lvlText w:val="•"/>
      <w:lvlJc w:val="left"/>
      <w:pPr>
        <w:ind w:left="5443" w:hanging="912"/>
      </w:pPr>
      <w:rPr>
        <w:rFonts w:hint="default"/>
        <w:lang w:val="en-US" w:eastAsia="zh-CN" w:bidi="ar-SA"/>
      </w:rPr>
    </w:lvl>
    <w:lvl w:ilvl="6" w:tentative="0">
      <w:start w:val="0"/>
      <w:numFmt w:val="bullet"/>
      <w:lvlText w:val="•"/>
      <w:lvlJc w:val="left"/>
      <w:pPr>
        <w:ind w:left="6375" w:hanging="912"/>
      </w:pPr>
      <w:rPr>
        <w:rFonts w:hint="default"/>
        <w:lang w:val="en-US" w:eastAsia="zh-CN" w:bidi="ar-SA"/>
      </w:rPr>
    </w:lvl>
    <w:lvl w:ilvl="7" w:tentative="0">
      <w:start w:val="0"/>
      <w:numFmt w:val="bullet"/>
      <w:lvlText w:val="•"/>
      <w:lvlJc w:val="left"/>
      <w:pPr>
        <w:ind w:left="7308" w:hanging="912"/>
      </w:pPr>
      <w:rPr>
        <w:rFonts w:hint="default"/>
        <w:lang w:val="en-US" w:eastAsia="zh-CN" w:bidi="ar-SA"/>
      </w:rPr>
    </w:lvl>
    <w:lvl w:ilvl="8" w:tentative="0">
      <w:start w:val="0"/>
      <w:numFmt w:val="bullet"/>
      <w:lvlText w:val="•"/>
      <w:lvlJc w:val="left"/>
      <w:pPr>
        <w:ind w:left="8241" w:hanging="912"/>
      </w:pPr>
      <w:rPr>
        <w:rFonts w:hint="default"/>
        <w:lang w:val="en-US" w:eastAsia="zh-CN" w:bidi="ar-SA"/>
      </w:rPr>
    </w:lvl>
  </w:abstractNum>
  <w:abstractNum w:abstractNumId="9">
    <w:nsid w:val="59ADCABA"/>
    <w:multiLevelType w:val="multilevel"/>
    <w:tmpl w:val="59ADCABA"/>
    <w:lvl w:ilvl="0" w:tentative="0">
      <w:start w:val="1"/>
      <w:numFmt w:val="lowerLetter"/>
      <w:lvlText w:val="%1)"/>
      <w:lvlJc w:val="left"/>
      <w:pPr>
        <w:ind w:left="1485" w:hanging="420"/>
        <w:jc w:val="left"/>
      </w:pPr>
      <w:rPr>
        <w:rFonts w:hint="default" w:ascii="宋体" w:hAnsi="宋体" w:eastAsia="宋体" w:cs="宋体"/>
        <w:w w:val="98"/>
        <w:sz w:val="21"/>
        <w:szCs w:val="21"/>
        <w:lang w:val="en-US" w:eastAsia="zh-CN" w:bidi="ar-SA"/>
      </w:rPr>
    </w:lvl>
    <w:lvl w:ilvl="1" w:tentative="0">
      <w:start w:val="0"/>
      <w:numFmt w:val="bullet"/>
      <w:lvlText w:val="•"/>
      <w:lvlJc w:val="left"/>
      <w:pPr>
        <w:ind w:left="2342" w:hanging="420"/>
      </w:pPr>
      <w:rPr>
        <w:rFonts w:hint="default"/>
        <w:lang w:val="en-US" w:eastAsia="zh-CN" w:bidi="ar-SA"/>
      </w:rPr>
    </w:lvl>
    <w:lvl w:ilvl="2" w:tentative="0">
      <w:start w:val="0"/>
      <w:numFmt w:val="bullet"/>
      <w:lvlText w:val="•"/>
      <w:lvlJc w:val="left"/>
      <w:pPr>
        <w:ind w:left="3205" w:hanging="420"/>
      </w:pPr>
      <w:rPr>
        <w:rFonts w:hint="default"/>
        <w:lang w:val="en-US" w:eastAsia="zh-CN" w:bidi="ar-SA"/>
      </w:rPr>
    </w:lvl>
    <w:lvl w:ilvl="3" w:tentative="0">
      <w:start w:val="0"/>
      <w:numFmt w:val="bullet"/>
      <w:lvlText w:val="•"/>
      <w:lvlJc w:val="left"/>
      <w:pPr>
        <w:ind w:left="4067" w:hanging="420"/>
      </w:pPr>
      <w:rPr>
        <w:rFonts w:hint="default"/>
        <w:lang w:val="en-US" w:eastAsia="zh-CN" w:bidi="ar-SA"/>
      </w:rPr>
    </w:lvl>
    <w:lvl w:ilvl="4" w:tentative="0">
      <w:start w:val="0"/>
      <w:numFmt w:val="bullet"/>
      <w:lvlText w:val="•"/>
      <w:lvlJc w:val="left"/>
      <w:pPr>
        <w:ind w:left="4930" w:hanging="420"/>
      </w:pPr>
      <w:rPr>
        <w:rFonts w:hint="default"/>
        <w:lang w:val="en-US" w:eastAsia="zh-CN" w:bidi="ar-SA"/>
      </w:rPr>
    </w:lvl>
    <w:lvl w:ilvl="5" w:tentative="0">
      <w:start w:val="0"/>
      <w:numFmt w:val="bullet"/>
      <w:lvlText w:val="•"/>
      <w:lvlJc w:val="left"/>
      <w:pPr>
        <w:ind w:left="5793" w:hanging="420"/>
      </w:pPr>
      <w:rPr>
        <w:rFonts w:hint="default"/>
        <w:lang w:val="en-US" w:eastAsia="zh-CN" w:bidi="ar-SA"/>
      </w:rPr>
    </w:lvl>
    <w:lvl w:ilvl="6" w:tentative="0">
      <w:start w:val="0"/>
      <w:numFmt w:val="bullet"/>
      <w:lvlText w:val="•"/>
      <w:lvlJc w:val="left"/>
      <w:pPr>
        <w:ind w:left="6655" w:hanging="420"/>
      </w:pPr>
      <w:rPr>
        <w:rFonts w:hint="default"/>
        <w:lang w:val="en-US" w:eastAsia="zh-CN" w:bidi="ar-SA"/>
      </w:rPr>
    </w:lvl>
    <w:lvl w:ilvl="7" w:tentative="0">
      <w:start w:val="0"/>
      <w:numFmt w:val="bullet"/>
      <w:lvlText w:val="•"/>
      <w:lvlJc w:val="left"/>
      <w:pPr>
        <w:ind w:left="7518" w:hanging="420"/>
      </w:pPr>
      <w:rPr>
        <w:rFonts w:hint="default"/>
        <w:lang w:val="en-US" w:eastAsia="zh-CN" w:bidi="ar-SA"/>
      </w:rPr>
    </w:lvl>
    <w:lvl w:ilvl="8" w:tentative="0">
      <w:start w:val="0"/>
      <w:numFmt w:val="bullet"/>
      <w:lvlText w:val="•"/>
      <w:lvlJc w:val="left"/>
      <w:pPr>
        <w:ind w:left="8381" w:hanging="420"/>
      </w:pPr>
      <w:rPr>
        <w:rFonts w:hint="default"/>
        <w:lang w:val="en-US" w:eastAsia="zh-CN" w:bidi="ar-SA"/>
      </w:rPr>
    </w:lvl>
  </w:abstractNum>
  <w:abstractNum w:abstractNumId="10">
    <w:nsid w:val="5A241D34"/>
    <w:multiLevelType w:val="multilevel"/>
    <w:tmpl w:val="5A241D34"/>
    <w:lvl w:ilvl="0" w:tentative="0">
      <w:start w:val="0"/>
      <w:numFmt w:val="bullet"/>
      <w:lvlText w:val=""/>
      <w:lvlJc w:val="left"/>
      <w:pPr>
        <w:ind w:left="1773" w:hanging="284"/>
      </w:pPr>
      <w:rPr>
        <w:rFonts w:hint="default" w:ascii="Wingdings" w:hAnsi="Wingdings" w:eastAsia="Wingdings" w:cs="Wingdings"/>
        <w:w w:val="100"/>
        <w:sz w:val="24"/>
        <w:szCs w:val="24"/>
        <w:lang w:val="en-US" w:eastAsia="zh-CN" w:bidi="ar-SA"/>
      </w:rPr>
    </w:lvl>
    <w:lvl w:ilvl="1" w:tentative="0">
      <w:start w:val="0"/>
      <w:numFmt w:val="bullet"/>
      <w:lvlText w:val="•"/>
      <w:lvlJc w:val="left"/>
      <w:pPr>
        <w:ind w:left="2612" w:hanging="284"/>
      </w:pPr>
      <w:rPr>
        <w:rFonts w:hint="default"/>
        <w:lang w:val="en-US" w:eastAsia="zh-CN" w:bidi="ar-SA"/>
      </w:rPr>
    </w:lvl>
    <w:lvl w:ilvl="2" w:tentative="0">
      <w:start w:val="0"/>
      <w:numFmt w:val="bullet"/>
      <w:lvlText w:val="•"/>
      <w:lvlJc w:val="left"/>
      <w:pPr>
        <w:ind w:left="3445" w:hanging="284"/>
      </w:pPr>
      <w:rPr>
        <w:rFonts w:hint="default"/>
        <w:lang w:val="en-US" w:eastAsia="zh-CN" w:bidi="ar-SA"/>
      </w:rPr>
    </w:lvl>
    <w:lvl w:ilvl="3" w:tentative="0">
      <w:start w:val="0"/>
      <w:numFmt w:val="bullet"/>
      <w:lvlText w:val="•"/>
      <w:lvlJc w:val="left"/>
      <w:pPr>
        <w:ind w:left="4277" w:hanging="284"/>
      </w:pPr>
      <w:rPr>
        <w:rFonts w:hint="default"/>
        <w:lang w:val="en-US" w:eastAsia="zh-CN" w:bidi="ar-SA"/>
      </w:rPr>
    </w:lvl>
    <w:lvl w:ilvl="4" w:tentative="0">
      <w:start w:val="0"/>
      <w:numFmt w:val="bullet"/>
      <w:lvlText w:val="•"/>
      <w:lvlJc w:val="left"/>
      <w:pPr>
        <w:ind w:left="5110" w:hanging="284"/>
      </w:pPr>
      <w:rPr>
        <w:rFonts w:hint="default"/>
        <w:lang w:val="en-US" w:eastAsia="zh-CN" w:bidi="ar-SA"/>
      </w:rPr>
    </w:lvl>
    <w:lvl w:ilvl="5" w:tentative="0">
      <w:start w:val="0"/>
      <w:numFmt w:val="bullet"/>
      <w:lvlText w:val="•"/>
      <w:lvlJc w:val="left"/>
      <w:pPr>
        <w:ind w:left="5943" w:hanging="284"/>
      </w:pPr>
      <w:rPr>
        <w:rFonts w:hint="default"/>
        <w:lang w:val="en-US" w:eastAsia="zh-CN" w:bidi="ar-SA"/>
      </w:rPr>
    </w:lvl>
    <w:lvl w:ilvl="6" w:tentative="0">
      <w:start w:val="0"/>
      <w:numFmt w:val="bullet"/>
      <w:lvlText w:val="•"/>
      <w:lvlJc w:val="left"/>
      <w:pPr>
        <w:ind w:left="6775" w:hanging="284"/>
      </w:pPr>
      <w:rPr>
        <w:rFonts w:hint="default"/>
        <w:lang w:val="en-US" w:eastAsia="zh-CN" w:bidi="ar-SA"/>
      </w:rPr>
    </w:lvl>
    <w:lvl w:ilvl="7" w:tentative="0">
      <w:start w:val="0"/>
      <w:numFmt w:val="bullet"/>
      <w:lvlText w:val="•"/>
      <w:lvlJc w:val="left"/>
      <w:pPr>
        <w:ind w:left="7608" w:hanging="284"/>
      </w:pPr>
      <w:rPr>
        <w:rFonts w:hint="default"/>
        <w:lang w:val="en-US" w:eastAsia="zh-CN" w:bidi="ar-SA"/>
      </w:rPr>
    </w:lvl>
    <w:lvl w:ilvl="8" w:tentative="0">
      <w:start w:val="0"/>
      <w:numFmt w:val="bullet"/>
      <w:lvlText w:val="•"/>
      <w:lvlJc w:val="left"/>
      <w:pPr>
        <w:ind w:left="8441" w:hanging="284"/>
      </w:pPr>
      <w:rPr>
        <w:rFonts w:hint="default"/>
        <w:lang w:val="en-US" w:eastAsia="zh-CN" w:bidi="ar-SA"/>
      </w:rPr>
    </w:lvl>
  </w:abstractNum>
  <w:abstractNum w:abstractNumId="11">
    <w:nsid w:val="72183CF9"/>
    <w:multiLevelType w:val="multilevel"/>
    <w:tmpl w:val="72183CF9"/>
    <w:lvl w:ilvl="0" w:tentative="0">
      <w:start w:val="5"/>
      <w:numFmt w:val="decimal"/>
      <w:lvlText w:val="%1"/>
      <w:lvlJc w:val="left"/>
      <w:pPr>
        <w:ind w:left="1679" w:hanging="900"/>
        <w:jc w:val="left"/>
      </w:pPr>
      <w:rPr>
        <w:rFonts w:hint="default"/>
        <w:lang w:val="en-US" w:eastAsia="zh-CN" w:bidi="ar-SA"/>
      </w:rPr>
    </w:lvl>
    <w:lvl w:ilvl="1" w:tentative="0">
      <w:start w:val="2"/>
      <w:numFmt w:val="decimal"/>
      <w:lvlText w:val="%1.%2"/>
      <w:lvlJc w:val="left"/>
      <w:pPr>
        <w:ind w:left="1679" w:hanging="900"/>
        <w:jc w:val="left"/>
      </w:pPr>
      <w:rPr>
        <w:rFonts w:hint="default"/>
        <w:lang w:val="en-US" w:eastAsia="zh-CN" w:bidi="ar-SA"/>
      </w:rPr>
    </w:lvl>
    <w:lvl w:ilvl="2" w:tentative="0">
      <w:start w:val="2"/>
      <w:numFmt w:val="decimal"/>
      <w:lvlText w:val="%1.%2.%3"/>
      <w:lvlJc w:val="left"/>
      <w:pPr>
        <w:ind w:left="1679" w:hanging="900"/>
        <w:jc w:val="left"/>
      </w:pPr>
      <w:rPr>
        <w:rFonts w:hint="default"/>
        <w:lang w:val="en-US" w:eastAsia="zh-CN" w:bidi="ar-SA"/>
      </w:rPr>
    </w:lvl>
    <w:lvl w:ilvl="3" w:tentative="0">
      <w:start w:val="1"/>
      <w:numFmt w:val="decimal"/>
      <w:lvlText w:val="%1.%2.%3.%4"/>
      <w:lvlJc w:val="left"/>
      <w:pPr>
        <w:ind w:left="1679" w:hanging="900"/>
        <w:jc w:val="left"/>
      </w:pPr>
      <w:rPr>
        <w:rFonts w:hint="default" w:ascii="宋体" w:hAnsi="宋体" w:eastAsia="宋体" w:cs="宋体"/>
        <w:spacing w:val="-1"/>
        <w:w w:val="100"/>
        <w:sz w:val="24"/>
        <w:szCs w:val="24"/>
        <w:lang w:val="en-US" w:eastAsia="zh-CN" w:bidi="ar-SA"/>
      </w:rPr>
    </w:lvl>
    <w:lvl w:ilvl="4" w:tentative="0">
      <w:start w:val="0"/>
      <w:numFmt w:val="bullet"/>
      <w:lvlText w:val=""/>
      <w:lvlJc w:val="left"/>
      <w:pPr>
        <w:ind w:left="1773" w:hanging="284"/>
      </w:pPr>
      <w:rPr>
        <w:rFonts w:hint="default" w:ascii="Wingdings" w:hAnsi="Wingdings" w:eastAsia="Wingdings" w:cs="Wingdings"/>
        <w:w w:val="100"/>
        <w:sz w:val="24"/>
        <w:szCs w:val="24"/>
        <w:lang w:val="en-US" w:eastAsia="zh-CN" w:bidi="ar-SA"/>
      </w:rPr>
    </w:lvl>
    <w:lvl w:ilvl="5" w:tentative="0">
      <w:start w:val="0"/>
      <w:numFmt w:val="bullet"/>
      <w:lvlText w:val="•"/>
      <w:lvlJc w:val="left"/>
      <w:pPr>
        <w:ind w:left="5480" w:hanging="284"/>
      </w:pPr>
      <w:rPr>
        <w:rFonts w:hint="default"/>
        <w:lang w:val="en-US" w:eastAsia="zh-CN" w:bidi="ar-SA"/>
      </w:rPr>
    </w:lvl>
    <w:lvl w:ilvl="6" w:tentative="0">
      <w:start w:val="0"/>
      <w:numFmt w:val="bullet"/>
      <w:lvlText w:val="•"/>
      <w:lvlJc w:val="left"/>
      <w:pPr>
        <w:ind w:left="6405" w:hanging="284"/>
      </w:pPr>
      <w:rPr>
        <w:rFonts w:hint="default"/>
        <w:lang w:val="en-US" w:eastAsia="zh-CN" w:bidi="ar-SA"/>
      </w:rPr>
    </w:lvl>
    <w:lvl w:ilvl="7" w:tentative="0">
      <w:start w:val="0"/>
      <w:numFmt w:val="bullet"/>
      <w:lvlText w:val="•"/>
      <w:lvlJc w:val="left"/>
      <w:pPr>
        <w:ind w:left="7330" w:hanging="284"/>
      </w:pPr>
      <w:rPr>
        <w:rFonts w:hint="default"/>
        <w:lang w:val="en-US" w:eastAsia="zh-CN" w:bidi="ar-SA"/>
      </w:rPr>
    </w:lvl>
    <w:lvl w:ilvl="8" w:tentative="0">
      <w:start w:val="0"/>
      <w:numFmt w:val="bullet"/>
      <w:lvlText w:val="•"/>
      <w:lvlJc w:val="left"/>
      <w:pPr>
        <w:ind w:left="8256" w:hanging="284"/>
      </w:pPr>
      <w:rPr>
        <w:rFonts w:hint="default"/>
        <w:lang w:val="en-US" w:eastAsia="zh-CN"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5FA77DCF"/>
    <w:rsid w:val="6FB31966"/>
    <w:rsid w:val="736175DC"/>
    <w:rsid w:val="7B085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39"/>
      <w:ind w:left="212"/>
      <w:outlineLvl w:val="1"/>
    </w:pPr>
    <w:rPr>
      <w:rFonts w:ascii="黑体" w:hAnsi="黑体" w:eastAsia="黑体" w:cs="黑体"/>
      <w:b/>
      <w:bCs/>
      <w:sz w:val="24"/>
      <w:szCs w:val="24"/>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773" w:hanging="284"/>
    </w:pPr>
    <w:rPr>
      <w:rFonts w:ascii="宋体" w:hAnsi="宋体" w:eastAsia="宋体" w:cs="宋体"/>
      <w:lang w:val="en-US" w:eastAsia="zh-CN" w:bidi="ar-SA"/>
    </w:rPr>
  </w:style>
  <w:style w:type="paragraph" w:customStyle="1" w:styleId="8">
    <w:name w:val="Table Paragraph"/>
    <w:basedOn w:val="1"/>
    <w:qFormat/>
    <w:uiPriority w:val="1"/>
    <w:pPr>
      <w:spacing w:before="123"/>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2021-08-29T02:37:00Z</dcterms:created>
  <dc:creator>chealist.cheng</dc:creator>
  <cp:lastModifiedBy>郭旭川ISO认证</cp:lastModifiedBy>
  <dcterms:modified xsi:type="dcterms:W3CDTF">2021-08-29T02:59:52Z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2016</vt:lpwstr>
  </property>
  <property fmtid="{D5CDD505-2E9C-101B-9397-08002B2CF9AE}" pid="4" name="LastSaved">
    <vt:filetime>2021-08-29T00:00:00Z</vt:filetime>
  </property>
  <property fmtid="{D5CDD505-2E9C-101B-9397-08002B2CF9AE}" pid="5" name="KSOProductBuildVer">
    <vt:lpwstr>2052-11.1.0.10700</vt:lpwstr>
  </property>
  <property fmtid="{D5CDD505-2E9C-101B-9397-08002B2CF9AE}" pid="6" name="ICV">
    <vt:lpwstr>983B5D3B82A64F49B85D4BC8A0067E55</vt:lpwstr>
  </property>
</Properties>
</file>